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B4" w:rsidRDefault="001B70B4" w:rsidP="001B70B4">
      <w:pPr>
        <w:spacing w:line="320" w:lineRule="atLeast"/>
        <w:contextualSpacing/>
        <w:rPr>
          <w:rFonts w:ascii="Calibri" w:eastAsia="Times New Roman" w:hAnsi="Calibri" w:cs="Calibri"/>
          <w:b/>
          <w:color w:val="000000"/>
          <w:kern w:val="28"/>
          <w:sz w:val="36"/>
          <w:szCs w:val="36"/>
        </w:rPr>
      </w:pPr>
    </w:p>
    <w:p w:rsidR="001B70B4" w:rsidRPr="003C5252" w:rsidRDefault="001B70B4" w:rsidP="001B70B4">
      <w:pPr>
        <w:spacing w:line="320" w:lineRule="atLeast"/>
        <w:contextualSpacing/>
        <w:rPr>
          <w:rFonts w:ascii="Calibri" w:eastAsia="Times New Roman" w:hAnsi="Calibri" w:cs="Calibri"/>
          <w:b/>
          <w:color w:val="000000"/>
          <w:kern w:val="28"/>
          <w:sz w:val="36"/>
          <w:szCs w:val="36"/>
        </w:rPr>
      </w:pPr>
      <w:r w:rsidRPr="003C5252">
        <w:rPr>
          <w:rFonts w:ascii="Calibri" w:eastAsia="Times New Roman" w:hAnsi="Calibri" w:cs="Calibri"/>
          <w:b/>
          <w:noProof/>
          <w:color w:val="000000"/>
          <w:kern w:val="28"/>
          <w:sz w:val="36"/>
          <w:szCs w:val="36"/>
        </w:rPr>
        <w:drawing>
          <wp:anchor distT="0" distB="0" distL="114300" distR="114300" simplePos="0" relativeHeight="251659264" behindDoc="1" locked="0" layoutInCell="1" allowOverlap="1" wp14:anchorId="3102FEC2" wp14:editId="5AF42055">
            <wp:simplePos x="0" y="0"/>
            <wp:positionH relativeFrom="margin">
              <wp:posOffset>4556125</wp:posOffset>
            </wp:positionH>
            <wp:positionV relativeFrom="margin">
              <wp:posOffset>-118745</wp:posOffset>
            </wp:positionV>
            <wp:extent cx="1974215" cy="1008380"/>
            <wp:effectExtent l="0" t="0" r="6985" b="1270"/>
            <wp:wrapThrough wrapText="bothSides">
              <wp:wrapPolygon edited="0">
                <wp:start x="0" y="0"/>
                <wp:lineTo x="0" y="21219"/>
                <wp:lineTo x="21468" y="21219"/>
                <wp:lineTo x="21468" y="0"/>
                <wp:lineTo x="0" y="0"/>
              </wp:wrapPolygon>
            </wp:wrapThrough>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 w.o counties.jpg.png"/>
                    <pic:cNvPicPr/>
                  </pic:nvPicPr>
                  <pic:blipFill>
                    <a:blip r:embed="rId8">
                      <a:extLst>
                        <a:ext uri="{28A0092B-C50C-407E-A947-70E740481C1C}">
                          <a14:useLocalDpi xmlns:a14="http://schemas.microsoft.com/office/drawing/2010/main" val="0"/>
                        </a:ext>
                      </a:extLst>
                    </a:blip>
                    <a:stretch>
                      <a:fillRect/>
                    </a:stretch>
                  </pic:blipFill>
                  <pic:spPr>
                    <a:xfrm>
                      <a:off x="0" y="0"/>
                      <a:ext cx="1974215" cy="1008380"/>
                    </a:xfrm>
                    <a:prstGeom prst="rect">
                      <a:avLst/>
                    </a:prstGeom>
                  </pic:spPr>
                </pic:pic>
              </a:graphicData>
            </a:graphic>
            <wp14:sizeRelH relativeFrom="margin">
              <wp14:pctWidth>0</wp14:pctWidth>
            </wp14:sizeRelH>
            <wp14:sizeRelV relativeFrom="margin">
              <wp14:pctHeight>0</wp14:pctHeight>
            </wp14:sizeRelV>
          </wp:anchor>
        </w:drawing>
      </w:r>
      <w:r w:rsidRPr="003C5252">
        <w:rPr>
          <w:rFonts w:ascii="Calibri" w:eastAsia="Times New Roman" w:hAnsi="Calibri" w:cs="Calibri"/>
          <w:b/>
          <w:color w:val="000000"/>
          <w:kern w:val="28"/>
          <w:sz w:val="36"/>
          <w:szCs w:val="36"/>
        </w:rPr>
        <w:t>Regional Epidemiological Outcomes Workgroup</w:t>
      </w:r>
    </w:p>
    <w:p w:rsidR="001B70B4" w:rsidRPr="003C5252" w:rsidRDefault="0030408A" w:rsidP="001B70B4">
      <w:pPr>
        <w:widowControl w:val="0"/>
        <w:spacing w:after="0" w:line="320" w:lineRule="atLeast"/>
        <w:rPr>
          <w:rFonts w:eastAsia="Times New Roman" w:cstheme="minorHAnsi"/>
          <w:b/>
          <w:kern w:val="28"/>
        </w:rPr>
      </w:pPr>
      <w:r>
        <w:rPr>
          <w:rFonts w:ascii="Calibri" w:eastAsia="Times New Roman" w:hAnsi="Calibri" w:cs="Calibri"/>
          <w:b/>
          <w:color w:val="000000"/>
          <w:kern w:val="28"/>
          <w:sz w:val="30"/>
          <w:szCs w:val="30"/>
        </w:rPr>
        <w:t>Substance Abuse 2018</w:t>
      </w:r>
      <w:r w:rsidR="001B70B4" w:rsidRPr="003C5252">
        <w:rPr>
          <w:rFonts w:ascii="Calibri" w:eastAsia="Times New Roman" w:hAnsi="Calibri" w:cs="Calibri"/>
          <w:b/>
          <w:color w:val="000000"/>
          <w:kern w:val="28"/>
          <w:sz w:val="30"/>
          <w:szCs w:val="30"/>
        </w:rPr>
        <w:t xml:space="preserve"> Epidemiological Profile for Region 10 </w:t>
      </w:r>
      <w:r w:rsidR="001B70B4" w:rsidRPr="003C5252">
        <w:rPr>
          <w:rFonts w:eastAsia="Times New Roman" w:cstheme="minorHAnsi"/>
          <w:b/>
          <w:kern w:val="28"/>
        </w:rPr>
        <w:t xml:space="preserve">BRYAN </w:t>
      </w:r>
      <w:r w:rsidR="001B70B4" w:rsidRPr="003C5252">
        <w:rPr>
          <w:rFonts w:cstheme="minorHAnsi"/>
          <w:b/>
          <w:bCs/>
          <w:sz w:val="24"/>
          <w:szCs w:val="24"/>
        </w:rPr>
        <w:t xml:space="preserve">· </w:t>
      </w:r>
      <w:r w:rsidR="001B70B4" w:rsidRPr="003C5252">
        <w:rPr>
          <w:rFonts w:eastAsia="Times New Roman" w:cstheme="minorHAnsi"/>
          <w:b/>
          <w:kern w:val="28"/>
        </w:rPr>
        <w:t xml:space="preserve">CARTER </w:t>
      </w:r>
      <w:r w:rsidR="001B70B4" w:rsidRPr="003C5252">
        <w:rPr>
          <w:rFonts w:cstheme="minorHAnsi"/>
          <w:b/>
          <w:bCs/>
          <w:sz w:val="24"/>
          <w:szCs w:val="24"/>
        </w:rPr>
        <w:t xml:space="preserve">· </w:t>
      </w:r>
      <w:r w:rsidR="001B70B4" w:rsidRPr="003C5252">
        <w:rPr>
          <w:rFonts w:eastAsia="Times New Roman" w:cstheme="minorHAnsi"/>
          <w:b/>
          <w:kern w:val="28"/>
        </w:rPr>
        <w:t xml:space="preserve">GARVIN </w:t>
      </w:r>
      <w:r w:rsidR="001B70B4" w:rsidRPr="003C5252">
        <w:rPr>
          <w:rFonts w:cstheme="minorHAnsi"/>
          <w:b/>
          <w:bCs/>
          <w:sz w:val="24"/>
          <w:szCs w:val="24"/>
        </w:rPr>
        <w:t xml:space="preserve">· </w:t>
      </w:r>
      <w:r w:rsidR="001B70B4" w:rsidRPr="003C5252">
        <w:rPr>
          <w:rFonts w:eastAsia="Times New Roman" w:cstheme="minorHAnsi"/>
          <w:b/>
          <w:kern w:val="28"/>
        </w:rPr>
        <w:t xml:space="preserve">JOHNSTON </w:t>
      </w:r>
      <w:r w:rsidR="001B70B4" w:rsidRPr="003C5252">
        <w:rPr>
          <w:rFonts w:cstheme="minorHAnsi"/>
          <w:b/>
          <w:bCs/>
          <w:sz w:val="24"/>
          <w:szCs w:val="24"/>
        </w:rPr>
        <w:t xml:space="preserve">· </w:t>
      </w:r>
      <w:r w:rsidR="001B70B4" w:rsidRPr="003C5252">
        <w:rPr>
          <w:rFonts w:eastAsia="Times New Roman" w:cstheme="minorHAnsi"/>
          <w:b/>
          <w:kern w:val="28"/>
        </w:rPr>
        <w:t xml:space="preserve">LOVE </w:t>
      </w:r>
      <w:r w:rsidR="001B70B4" w:rsidRPr="003C5252">
        <w:rPr>
          <w:rFonts w:cstheme="minorHAnsi"/>
          <w:b/>
          <w:bCs/>
          <w:sz w:val="24"/>
          <w:szCs w:val="24"/>
        </w:rPr>
        <w:t xml:space="preserve">· </w:t>
      </w:r>
      <w:r w:rsidR="001B70B4" w:rsidRPr="003C5252">
        <w:rPr>
          <w:rFonts w:eastAsia="Times New Roman" w:cstheme="minorHAnsi"/>
          <w:b/>
          <w:kern w:val="28"/>
        </w:rPr>
        <w:t>MARSHALL</w:t>
      </w:r>
      <w:r w:rsidR="001B70B4" w:rsidRPr="003C5252">
        <w:rPr>
          <w:rFonts w:cstheme="minorHAnsi"/>
          <w:b/>
          <w:bCs/>
          <w:sz w:val="24"/>
          <w:szCs w:val="24"/>
        </w:rPr>
        <w:t>·</w:t>
      </w:r>
      <w:r w:rsidR="001B70B4" w:rsidRPr="003C5252">
        <w:rPr>
          <w:rFonts w:eastAsia="Times New Roman" w:cstheme="minorHAnsi"/>
          <w:b/>
          <w:kern w:val="28"/>
        </w:rPr>
        <w:t xml:space="preserve"> MURRAY </w:t>
      </w:r>
      <w:r w:rsidR="001B70B4" w:rsidRPr="003C5252">
        <w:rPr>
          <w:rFonts w:cstheme="minorHAnsi"/>
          <w:b/>
          <w:bCs/>
          <w:sz w:val="24"/>
          <w:szCs w:val="24"/>
        </w:rPr>
        <w:t xml:space="preserve">· </w:t>
      </w:r>
      <w:r w:rsidR="001B70B4" w:rsidRPr="003C5252">
        <w:rPr>
          <w:rFonts w:eastAsia="Times New Roman" w:cstheme="minorHAnsi"/>
          <w:b/>
          <w:kern w:val="28"/>
        </w:rPr>
        <w:t>PONTOTOC</w:t>
      </w:r>
    </w:p>
    <w:p w:rsidR="001B70B4" w:rsidRPr="003C5252" w:rsidRDefault="001B70B4" w:rsidP="001B70B4">
      <w:pPr>
        <w:widowControl w:val="0"/>
        <w:spacing w:after="0" w:line="240" w:lineRule="auto"/>
        <w:rPr>
          <w:rFonts w:ascii="Verdana" w:eastAsia="Times New Roman" w:hAnsi="Verdana" w:cs="Times New Roman"/>
          <w:b/>
          <w:color w:val="FF0000"/>
          <w:kern w:val="28"/>
          <w:sz w:val="28"/>
          <w:szCs w:val="28"/>
        </w:rPr>
      </w:pPr>
    </w:p>
    <w:p w:rsidR="001B70B4" w:rsidRPr="003C5252" w:rsidRDefault="001B70B4" w:rsidP="001B70B4">
      <w:pPr>
        <w:widowControl w:val="0"/>
        <w:rPr>
          <w:rFonts w:cstheme="minorHAnsi"/>
          <w:sz w:val="24"/>
          <w:szCs w:val="24"/>
        </w:rPr>
      </w:pPr>
      <w:r w:rsidRPr="003C5252">
        <w:rPr>
          <w:rFonts w:cstheme="minorHAnsi"/>
          <w:sz w:val="24"/>
          <w:szCs w:val="24"/>
        </w:rPr>
        <w:t>This epidemiological profile for Region 10 was created using the Center for Substance Abuse Prevention (CSAP) model of consumption and consequence indicators. CSAP is a division of the Substance Abuse and Mental Health Services Administration (SAMHSA).  This profile will provide an assessment of the current issues related to substance abuse within Region 10.  This region includes the following counties:  Bryan, Carter Garvin, Johnston, Love, Marshall, Murray and Pontotoc.  This assessment utilizes data to examine consumption and consequence rates, percentages and trends related to alcohol use and the nonmedical use of prescription drugs.  Table 3 on Page 4 provides a compiled list of consequence and consumption indicators utilized for the assessment process.  This epidemiological profile will serve as the initial baseline regarding the assessment portion of the Strategic Prevention Framework process and will be updated on a yearly basis to track the progress of prevention efforts.</w:t>
      </w:r>
    </w:p>
    <w:p w:rsidR="001B70B4" w:rsidRPr="003C5252" w:rsidRDefault="001B70B4" w:rsidP="001B70B4">
      <w:pPr>
        <w:contextualSpacing/>
        <w:rPr>
          <w:rFonts w:cstheme="minorHAnsi"/>
          <w:b/>
          <w:sz w:val="24"/>
          <w:szCs w:val="24"/>
          <w:u w:val="single"/>
        </w:rPr>
      </w:pPr>
      <w:r w:rsidRPr="003C5252">
        <w:rPr>
          <w:rFonts w:cstheme="minorHAnsi"/>
          <w:b/>
          <w:sz w:val="24"/>
          <w:szCs w:val="24"/>
          <w:u w:val="single"/>
        </w:rPr>
        <w:t xml:space="preserve">Table 1:  Regional Epidemiological Outcomes Workgroup </w:t>
      </w:r>
    </w:p>
    <w:tbl>
      <w:tblPr>
        <w:tblStyle w:val="MediumShading1111"/>
        <w:tblW w:w="10724" w:type="dxa"/>
        <w:jc w:val="center"/>
        <w:tblLook w:val="04A0" w:firstRow="1" w:lastRow="0" w:firstColumn="1" w:lastColumn="0" w:noHBand="0" w:noVBand="1"/>
      </w:tblPr>
      <w:tblGrid>
        <w:gridCol w:w="2445"/>
        <w:gridCol w:w="4153"/>
        <w:gridCol w:w="4126"/>
      </w:tblGrid>
      <w:tr w:rsidR="001B70B4" w:rsidRPr="003C5252" w:rsidTr="001237B1">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2445" w:type="dxa"/>
            <w:tcBorders>
              <w:bottom w:val="threeDEngrave" w:sz="12" w:space="0" w:color="auto"/>
              <w:right w:val="threeDEngrave" w:sz="12" w:space="0" w:color="auto"/>
            </w:tcBorders>
            <w:noWrap/>
            <w:hideMark/>
          </w:tcPr>
          <w:p w:rsidR="001B70B4" w:rsidRPr="003C5252" w:rsidRDefault="001B70B4" w:rsidP="001237B1">
            <w:pPr>
              <w:jc w:val="center"/>
              <w:rPr>
                <w:rFonts w:eastAsia="Times New Roman" w:cstheme="minorHAnsi"/>
                <w:b w:val="0"/>
                <w:sz w:val="24"/>
                <w:szCs w:val="24"/>
              </w:rPr>
            </w:pPr>
            <w:r w:rsidRPr="003C5252">
              <w:rPr>
                <w:rFonts w:eastAsia="Times New Roman" w:cstheme="minorHAnsi"/>
                <w:b w:val="0"/>
                <w:sz w:val="24"/>
                <w:szCs w:val="24"/>
              </w:rPr>
              <w:t>Member Name</w:t>
            </w:r>
          </w:p>
        </w:tc>
        <w:tc>
          <w:tcPr>
            <w:tcW w:w="4153" w:type="dxa"/>
            <w:tcBorders>
              <w:left w:val="threeDEngrave" w:sz="12" w:space="0" w:color="auto"/>
              <w:bottom w:val="threeDEngrave" w:sz="12" w:space="0" w:color="auto"/>
              <w:right w:val="threeDEngrave" w:sz="12" w:space="0" w:color="auto"/>
            </w:tcBorders>
            <w:noWrap/>
            <w:hideMark/>
          </w:tcPr>
          <w:p w:rsidR="001B70B4" w:rsidRPr="003C5252" w:rsidRDefault="001B70B4"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4"/>
                <w:szCs w:val="24"/>
              </w:rPr>
            </w:pPr>
            <w:r w:rsidRPr="003C5252">
              <w:rPr>
                <w:rFonts w:eastAsia="Times New Roman" w:cstheme="minorHAnsi"/>
                <w:b w:val="0"/>
                <w:sz w:val="24"/>
                <w:szCs w:val="24"/>
              </w:rPr>
              <w:t>Representing Agency/Organization</w:t>
            </w:r>
          </w:p>
        </w:tc>
        <w:tc>
          <w:tcPr>
            <w:tcW w:w="4126" w:type="dxa"/>
            <w:tcBorders>
              <w:left w:val="threeDEngrave" w:sz="12" w:space="0" w:color="auto"/>
              <w:bottom w:val="threeDEngrave" w:sz="12" w:space="0" w:color="auto"/>
            </w:tcBorders>
            <w:noWrap/>
            <w:hideMark/>
          </w:tcPr>
          <w:p w:rsidR="001B70B4" w:rsidRPr="003C5252" w:rsidRDefault="001B70B4"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4"/>
                <w:szCs w:val="24"/>
              </w:rPr>
            </w:pPr>
            <w:r w:rsidRPr="003C5252">
              <w:rPr>
                <w:rFonts w:eastAsia="Times New Roman" w:cstheme="minorHAnsi"/>
                <w:b w:val="0"/>
                <w:sz w:val="24"/>
                <w:szCs w:val="24"/>
              </w:rPr>
              <w:t>Role</w:t>
            </w:r>
          </w:p>
        </w:tc>
      </w:tr>
      <w:tr w:rsidR="001B70B4" w:rsidRPr="003C5252" w:rsidTr="001237B1">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445" w:type="dxa"/>
            <w:tcBorders>
              <w:top w:val="threeDEngrave" w:sz="12" w:space="0" w:color="auto"/>
            </w:tcBorders>
            <w:noWrap/>
            <w:vAlign w:val="center"/>
            <w:hideMark/>
          </w:tcPr>
          <w:p w:rsidR="001B70B4" w:rsidRPr="003C5252" w:rsidRDefault="001B70B4" w:rsidP="001237B1">
            <w:pPr>
              <w:contextualSpacing/>
              <w:rPr>
                <w:rFonts w:cstheme="minorHAnsi"/>
                <w:b w:val="0"/>
                <w:bCs w:val="0"/>
                <w:sz w:val="24"/>
                <w:szCs w:val="24"/>
              </w:rPr>
            </w:pPr>
            <w:r w:rsidRPr="003C5252">
              <w:rPr>
                <w:rFonts w:cstheme="minorHAnsi"/>
                <w:b w:val="0"/>
                <w:bCs w:val="0"/>
                <w:sz w:val="24"/>
                <w:szCs w:val="24"/>
              </w:rPr>
              <w:t>Haley Peoples</w:t>
            </w:r>
          </w:p>
        </w:tc>
        <w:tc>
          <w:tcPr>
            <w:tcW w:w="4153" w:type="dxa"/>
            <w:tcBorders>
              <w:top w:val="threeDEngrave" w:sz="12" w:space="0" w:color="auto"/>
            </w:tcBorders>
            <w:noWrap/>
            <w:hideMark/>
          </w:tcPr>
          <w:p w:rsidR="001B70B4" w:rsidRPr="003C5252" w:rsidRDefault="001B70B4" w:rsidP="001237B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3C5252">
              <w:rPr>
                <w:rFonts w:cstheme="minorHAnsi"/>
                <w:bCs/>
                <w:sz w:val="24"/>
                <w:szCs w:val="24"/>
              </w:rPr>
              <w:t>Wichita Mountains Prevention Network</w:t>
            </w:r>
          </w:p>
        </w:tc>
        <w:tc>
          <w:tcPr>
            <w:tcW w:w="4126" w:type="dxa"/>
            <w:tcBorders>
              <w:top w:val="threeDEngrave" w:sz="12" w:space="0" w:color="auto"/>
            </w:tcBorders>
            <w:noWrap/>
            <w:vAlign w:val="center"/>
            <w:hideMark/>
          </w:tcPr>
          <w:p w:rsidR="001B70B4" w:rsidRPr="003C5252" w:rsidRDefault="001B70B4" w:rsidP="001237B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3C5252">
              <w:rPr>
                <w:rFonts w:cstheme="minorHAnsi"/>
                <w:bCs/>
                <w:sz w:val="24"/>
                <w:szCs w:val="24"/>
              </w:rPr>
              <w:t>Provide and analyze data</w:t>
            </w:r>
          </w:p>
        </w:tc>
      </w:tr>
      <w:tr w:rsidR="001B70B4" w:rsidRPr="003C5252" w:rsidTr="001237B1">
        <w:trPr>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445" w:type="dxa"/>
            <w:noWrap/>
            <w:vAlign w:val="center"/>
            <w:hideMark/>
          </w:tcPr>
          <w:p w:rsidR="001B70B4" w:rsidRPr="003C5252" w:rsidRDefault="001B70B4" w:rsidP="001237B1">
            <w:pPr>
              <w:contextualSpacing/>
              <w:rPr>
                <w:rFonts w:cstheme="minorHAnsi"/>
                <w:b w:val="0"/>
                <w:bCs w:val="0"/>
                <w:sz w:val="24"/>
                <w:szCs w:val="24"/>
              </w:rPr>
            </w:pPr>
            <w:r w:rsidRPr="003C5252">
              <w:rPr>
                <w:rFonts w:cstheme="minorHAnsi"/>
                <w:b w:val="0"/>
                <w:bCs w:val="0"/>
                <w:sz w:val="24"/>
                <w:szCs w:val="24"/>
              </w:rPr>
              <w:t>Marissa Musgrove</w:t>
            </w:r>
          </w:p>
        </w:tc>
        <w:tc>
          <w:tcPr>
            <w:tcW w:w="4153" w:type="dxa"/>
            <w:noWrap/>
            <w:hideMark/>
          </w:tcPr>
          <w:p w:rsidR="001B70B4" w:rsidRPr="003C5252" w:rsidRDefault="001B70B4" w:rsidP="001237B1">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3C5252">
              <w:rPr>
                <w:rFonts w:cstheme="minorHAnsi"/>
                <w:bCs/>
                <w:sz w:val="24"/>
                <w:szCs w:val="24"/>
              </w:rPr>
              <w:t>Wichita Mountains Prevention Network</w:t>
            </w:r>
          </w:p>
        </w:tc>
        <w:tc>
          <w:tcPr>
            <w:tcW w:w="4126" w:type="dxa"/>
            <w:noWrap/>
            <w:vAlign w:val="center"/>
            <w:hideMark/>
          </w:tcPr>
          <w:p w:rsidR="001B70B4" w:rsidRPr="003C5252" w:rsidRDefault="001B70B4" w:rsidP="001237B1">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3C5252">
              <w:rPr>
                <w:rFonts w:cstheme="minorHAnsi"/>
                <w:bCs/>
                <w:sz w:val="24"/>
                <w:szCs w:val="24"/>
              </w:rPr>
              <w:t>Provide and analyze data</w:t>
            </w:r>
          </w:p>
        </w:tc>
      </w:tr>
      <w:tr w:rsidR="001B70B4" w:rsidRPr="003C5252" w:rsidTr="001237B1">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445" w:type="dxa"/>
            <w:noWrap/>
            <w:vAlign w:val="center"/>
            <w:hideMark/>
          </w:tcPr>
          <w:p w:rsidR="001B70B4" w:rsidRPr="003C5252" w:rsidRDefault="001B70B4" w:rsidP="001237B1">
            <w:pPr>
              <w:contextualSpacing/>
              <w:rPr>
                <w:rFonts w:cstheme="minorHAnsi"/>
                <w:b w:val="0"/>
                <w:bCs w:val="0"/>
                <w:sz w:val="24"/>
                <w:szCs w:val="24"/>
              </w:rPr>
            </w:pPr>
            <w:r w:rsidRPr="003C5252">
              <w:rPr>
                <w:rFonts w:cstheme="minorHAnsi"/>
                <w:b w:val="0"/>
                <w:bCs w:val="0"/>
                <w:sz w:val="24"/>
                <w:szCs w:val="24"/>
              </w:rPr>
              <w:t>Colleen Hobbs</w:t>
            </w:r>
          </w:p>
        </w:tc>
        <w:tc>
          <w:tcPr>
            <w:tcW w:w="4153" w:type="dxa"/>
            <w:noWrap/>
            <w:hideMark/>
          </w:tcPr>
          <w:p w:rsidR="001B70B4" w:rsidRPr="003C5252" w:rsidRDefault="001B70B4" w:rsidP="001237B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3C5252">
              <w:rPr>
                <w:rFonts w:eastAsia="Times New Roman" w:cstheme="minorHAnsi"/>
                <w:color w:val="000000"/>
                <w:sz w:val="24"/>
                <w:szCs w:val="24"/>
              </w:rPr>
              <w:t>Carter County Health Department</w:t>
            </w:r>
          </w:p>
        </w:tc>
        <w:tc>
          <w:tcPr>
            <w:tcW w:w="4126" w:type="dxa"/>
            <w:noWrap/>
            <w:vAlign w:val="center"/>
            <w:hideMark/>
          </w:tcPr>
          <w:p w:rsidR="001B70B4" w:rsidRPr="003C5252" w:rsidRDefault="001B70B4" w:rsidP="001237B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3C5252">
              <w:rPr>
                <w:rFonts w:eastAsia="Times New Roman" w:cstheme="minorHAnsi"/>
                <w:color w:val="000000"/>
                <w:sz w:val="24"/>
                <w:szCs w:val="24"/>
              </w:rPr>
              <w:t>Provide and analyze data</w:t>
            </w:r>
          </w:p>
        </w:tc>
      </w:tr>
      <w:tr w:rsidR="001B70B4" w:rsidRPr="003C5252" w:rsidTr="001237B1">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445" w:type="dxa"/>
            <w:noWrap/>
            <w:vAlign w:val="center"/>
            <w:hideMark/>
          </w:tcPr>
          <w:p w:rsidR="001B70B4" w:rsidRPr="003C5252" w:rsidRDefault="001B70B4" w:rsidP="001237B1">
            <w:pPr>
              <w:contextualSpacing/>
              <w:rPr>
                <w:rFonts w:cstheme="minorHAnsi"/>
                <w:b w:val="0"/>
                <w:bCs w:val="0"/>
                <w:sz w:val="24"/>
                <w:szCs w:val="24"/>
              </w:rPr>
            </w:pPr>
            <w:r w:rsidRPr="003C5252">
              <w:rPr>
                <w:rFonts w:cstheme="minorHAnsi"/>
                <w:b w:val="0"/>
                <w:bCs w:val="0"/>
                <w:sz w:val="24"/>
                <w:szCs w:val="24"/>
              </w:rPr>
              <w:t>Kristi Combs</w:t>
            </w:r>
          </w:p>
        </w:tc>
        <w:tc>
          <w:tcPr>
            <w:tcW w:w="4153" w:type="dxa"/>
            <w:noWrap/>
          </w:tcPr>
          <w:p w:rsidR="001B70B4" w:rsidRPr="003C5252" w:rsidRDefault="001B70B4" w:rsidP="001237B1">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3C5252">
              <w:rPr>
                <w:rFonts w:eastAsia="Times New Roman" w:cstheme="minorHAnsi"/>
                <w:color w:val="000000"/>
                <w:sz w:val="24"/>
                <w:szCs w:val="24"/>
              </w:rPr>
              <w:t>Carter County Health Department</w:t>
            </w:r>
          </w:p>
        </w:tc>
        <w:tc>
          <w:tcPr>
            <w:tcW w:w="4126" w:type="dxa"/>
            <w:noWrap/>
            <w:vAlign w:val="center"/>
          </w:tcPr>
          <w:p w:rsidR="001B70B4" w:rsidRPr="003C5252" w:rsidRDefault="001B70B4" w:rsidP="001237B1">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3C5252">
              <w:rPr>
                <w:rFonts w:eastAsia="Times New Roman" w:cstheme="minorHAnsi"/>
                <w:color w:val="000000"/>
                <w:sz w:val="24"/>
                <w:szCs w:val="24"/>
              </w:rPr>
              <w:t>Provide and analyze data</w:t>
            </w:r>
          </w:p>
        </w:tc>
      </w:tr>
      <w:tr w:rsidR="001B70B4" w:rsidRPr="003C5252" w:rsidTr="001237B1">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445" w:type="dxa"/>
            <w:noWrap/>
            <w:vAlign w:val="center"/>
            <w:hideMark/>
          </w:tcPr>
          <w:p w:rsidR="001B70B4" w:rsidRPr="003C5252" w:rsidRDefault="001B70B4" w:rsidP="001237B1">
            <w:pPr>
              <w:contextualSpacing/>
              <w:rPr>
                <w:rFonts w:cstheme="minorHAnsi"/>
                <w:b w:val="0"/>
                <w:bCs w:val="0"/>
                <w:sz w:val="24"/>
                <w:szCs w:val="24"/>
              </w:rPr>
            </w:pPr>
            <w:r w:rsidRPr="003C5252">
              <w:rPr>
                <w:rFonts w:cstheme="minorHAnsi"/>
                <w:b w:val="0"/>
                <w:bCs w:val="0"/>
                <w:sz w:val="24"/>
                <w:szCs w:val="24"/>
              </w:rPr>
              <w:t xml:space="preserve">Christy </w:t>
            </w:r>
            <w:proofErr w:type="spellStart"/>
            <w:r w:rsidRPr="003C5252">
              <w:rPr>
                <w:rFonts w:cstheme="minorHAnsi"/>
                <w:b w:val="0"/>
                <w:bCs w:val="0"/>
                <w:sz w:val="24"/>
                <w:szCs w:val="24"/>
              </w:rPr>
              <w:t>Byars</w:t>
            </w:r>
            <w:proofErr w:type="spellEnd"/>
          </w:p>
        </w:tc>
        <w:tc>
          <w:tcPr>
            <w:tcW w:w="4153" w:type="dxa"/>
            <w:noWrap/>
          </w:tcPr>
          <w:p w:rsidR="001B70B4" w:rsidRPr="003C5252" w:rsidRDefault="001B70B4" w:rsidP="001237B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3C5252">
              <w:rPr>
                <w:rFonts w:eastAsia="Times New Roman" w:cstheme="minorHAnsi"/>
                <w:color w:val="000000"/>
                <w:sz w:val="24"/>
                <w:szCs w:val="24"/>
              </w:rPr>
              <w:t>Chickasaw Nation</w:t>
            </w:r>
          </w:p>
        </w:tc>
        <w:tc>
          <w:tcPr>
            <w:tcW w:w="4126" w:type="dxa"/>
            <w:noWrap/>
            <w:vAlign w:val="center"/>
          </w:tcPr>
          <w:p w:rsidR="001B70B4" w:rsidRPr="003C5252" w:rsidRDefault="001B70B4" w:rsidP="001237B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3C5252">
              <w:rPr>
                <w:rFonts w:eastAsia="Times New Roman" w:cstheme="minorHAnsi"/>
                <w:color w:val="000000"/>
                <w:sz w:val="24"/>
                <w:szCs w:val="24"/>
              </w:rPr>
              <w:t>Provide and analyze data</w:t>
            </w:r>
          </w:p>
        </w:tc>
      </w:tr>
      <w:tr w:rsidR="001B70B4" w:rsidRPr="003C5252" w:rsidTr="001237B1">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445" w:type="dxa"/>
            <w:noWrap/>
            <w:hideMark/>
          </w:tcPr>
          <w:p w:rsidR="001B70B4" w:rsidRPr="003C5252" w:rsidRDefault="001B70B4" w:rsidP="001237B1">
            <w:pPr>
              <w:contextualSpacing/>
              <w:rPr>
                <w:rFonts w:cstheme="minorHAnsi"/>
                <w:b w:val="0"/>
                <w:bCs w:val="0"/>
                <w:sz w:val="24"/>
                <w:szCs w:val="24"/>
              </w:rPr>
            </w:pPr>
            <w:r w:rsidRPr="003C5252">
              <w:rPr>
                <w:rFonts w:cstheme="minorHAnsi"/>
                <w:b w:val="0"/>
                <w:bCs w:val="0"/>
                <w:sz w:val="24"/>
                <w:szCs w:val="24"/>
              </w:rPr>
              <w:t xml:space="preserve">Mendy </w:t>
            </w:r>
            <w:proofErr w:type="spellStart"/>
            <w:r w:rsidRPr="003C5252">
              <w:rPr>
                <w:rFonts w:cstheme="minorHAnsi"/>
                <w:b w:val="0"/>
                <w:bCs w:val="0"/>
                <w:sz w:val="24"/>
                <w:szCs w:val="24"/>
              </w:rPr>
              <w:t>Spohn</w:t>
            </w:r>
            <w:proofErr w:type="spellEnd"/>
            <w:r w:rsidRPr="003C5252">
              <w:rPr>
                <w:rFonts w:cstheme="minorHAnsi"/>
                <w:b w:val="0"/>
                <w:bCs w:val="0"/>
                <w:sz w:val="24"/>
                <w:szCs w:val="24"/>
              </w:rPr>
              <w:t xml:space="preserve"> </w:t>
            </w:r>
          </w:p>
        </w:tc>
        <w:tc>
          <w:tcPr>
            <w:tcW w:w="4153" w:type="dxa"/>
            <w:noWrap/>
            <w:hideMark/>
          </w:tcPr>
          <w:p w:rsidR="001B70B4" w:rsidRPr="003C5252" w:rsidRDefault="001B70B4" w:rsidP="001237B1">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3C5252">
              <w:rPr>
                <w:rFonts w:eastAsia="Times New Roman" w:cstheme="minorHAnsi"/>
                <w:color w:val="000000"/>
                <w:sz w:val="24"/>
                <w:szCs w:val="24"/>
              </w:rPr>
              <w:t>C</w:t>
            </w:r>
            <w:r w:rsidRPr="003C5252">
              <w:rPr>
                <w:rFonts w:cstheme="minorHAnsi"/>
                <w:bCs/>
                <w:sz w:val="24"/>
                <w:szCs w:val="24"/>
              </w:rPr>
              <w:t>arter, Love,  Johnston, Marshall, Bryan County Health Departments</w:t>
            </w:r>
          </w:p>
        </w:tc>
        <w:tc>
          <w:tcPr>
            <w:tcW w:w="4126" w:type="dxa"/>
            <w:noWrap/>
            <w:vAlign w:val="center"/>
            <w:hideMark/>
          </w:tcPr>
          <w:p w:rsidR="001B70B4" w:rsidRPr="003C5252" w:rsidRDefault="001B70B4" w:rsidP="001237B1">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3C5252">
              <w:rPr>
                <w:rFonts w:eastAsia="Times New Roman" w:cstheme="minorHAnsi"/>
                <w:color w:val="000000"/>
                <w:sz w:val="24"/>
                <w:szCs w:val="24"/>
              </w:rPr>
              <w:t>Provide and analyze data</w:t>
            </w:r>
          </w:p>
        </w:tc>
      </w:tr>
      <w:tr w:rsidR="001B70B4" w:rsidRPr="003C5252" w:rsidTr="001237B1">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2445" w:type="dxa"/>
            <w:noWrap/>
            <w:hideMark/>
          </w:tcPr>
          <w:p w:rsidR="001B70B4" w:rsidRPr="003C5252" w:rsidRDefault="001B70B4" w:rsidP="001237B1">
            <w:pPr>
              <w:contextualSpacing/>
              <w:rPr>
                <w:rFonts w:cstheme="minorHAnsi"/>
                <w:b w:val="0"/>
                <w:bCs w:val="0"/>
                <w:sz w:val="24"/>
                <w:szCs w:val="24"/>
              </w:rPr>
            </w:pPr>
            <w:r w:rsidRPr="003C5252">
              <w:rPr>
                <w:rFonts w:cstheme="minorHAnsi"/>
                <w:b w:val="0"/>
                <w:bCs w:val="0"/>
                <w:sz w:val="24"/>
                <w:szCs w:val="24"/>
              </w:rPr>
              <w:t xml:space="preserve">Joshua </w:t>
            </w:r>
            <w:proofErr w:type="spellStart"/>
            <w:r w:rsidRPr="003C5252">
              <w:rPr>
                <w:rFonts w:cstheme="minorHAnsi"/>
                <w:b w:val="0"/>
                <w:bCs w:val="0"/>
                <w:sz w:val="24"/>
                <w:szCs w:val="24"/>
              </w:rPr>
              <w:t>Shahbandeh</w:t>
            </w:r>
            <w:proofErr w:type="spellEnd"/>
            <w:r w:rsidRPr="003C5252">
              <w:rPr>
                <w:rFonts w:cstheme="minorHAnsi"/>
                <w:b w:val="0"/>
                <w:bCs w:val="0"/>
                <w:sz w:val="24"/>
                <w:szCs w:val="24"/>
              </w:rPr>
              <w:t xml:space="preserve"> (Caleb)</w:t>
            </w:r>
          </w:p>
        </w:tc>
        <w:tc>
          <w:tcPr>
            <w:tcW w:w="4153" w:type="dxa"/>
            <w:noWrap/>
            <w:hideMark/>
          </w:tcPr>
          <w:p w:rsidR="001B70B4" w:rsidRPr="003C5252" w:rsidRDefault="001B70B4" w:rsidP="001237B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3C5252">
              <w:rPr>
                <w:rFonts w:eastAsia="Times New Roman" w:cstheme="minorHAnsi"/>
                <w:color w:val="000000"/>
                <w:sz w:val="24"/>
                <w:szCs w:val="24"/>
              </w:rPr>
              <w:t>Chickasaw Nation</w:t>
            </w:r>
          </w:p>
        </w:tc>
        <w:tc>
          <w:tcPr>
            <w:tcW w:w="4126" w:type="dxa"/>
            <w:noWrap/>
            <w:hideMark/>
          </w:tcPr>
          <w:p w:rsidR="001B70B4" w:rsidRPr="003C5252" w:rsidRDefault="001B70B4" w:rsidP="001237B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3C5252">
              <w:rPr>
                <w:rFonts w:eastAsia="Times New Roman" w:cstheme="minorHAnsi"/>
                <w:color w:val="000000"/>
                <w:sz w:val="24"/>
                <w:szCs w:val="24"/>
              </w:rPr>
              <w:t>Provide and analyze data</w:t>
            </w:r>
          </w:p>
        </w:tc>
      </w:tr>
      <w:tr w:rsidR="001B70B4" w:rsidRPr="003C5252" w:rsidTr="001237B1">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445" w:type="dxa"/>
            <w:noWrap/>
            <w:hideMark/>
          </w:tcPr>
          <w:p w:rsidR="001B70B4" w:rsidRPr="003C5252" w:rsidRDefault="001B70B4" w:rsidP="001237B1">
            <w:pPr>
              <w:contextualSpacing/>
              <w:rPr>
                <w:rFonts w:cstheme="minorHAnsi"/>
                <w:b w:val="0"/>
                <w:bCs w:val="0"/>
                <w:sz w:val="24"/>
                <w:szCs w:val="24"/>
              </w:rPr>
            </w:pPr>
            <w:r w:rsidRPr="003C5252">
              <w:rPr>
                <w:rFonts w:cstheme="minorHAnsi"/>
                <w:b w:val="0"/>
                <w:bCs w:val="0"/>
                <w:sz w:val="24"/>
                <w:szCs w:val="24"/>
              </w:rPr>
              <w:t>Miranda Willis</w:t>
            </w:r>
          </w:p>
        </w:tc>
        <w:tc>
          <w:tcPr>
            <w:tcW w:w="4153" w:type="dxa"/>
            <w:noWrap/>
            <w:hideMark/>
          </w:tcPr>
          <w:p w:rsidR="001B70B4" w:rsidRPr="003C5252" w:rsidRDefault="001B70B4" w:rsidP="001237B1">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3C5252">
              <w:rPr>
                <w:rFonts w:cstheme="minorHAnsi"/>
                <w:bCs/>
                <w:sz w:val="24"/>
                <w:szCs w:val="24"/>
              </w:rPr>
              <w:t>Chickasaw Nation</w:t>
            </w:r>
          </w:p>
        </w:tc>
        <w:tc>
          <w:tcPr>
            <w:tcW w:w="4126" w:type="dxa"/>
            <w:noWrap/>
            <w:hideMark/>
          </w:tcPr>
          <w:p w:rsidR="001B70B4" w:rsidRPr="003C5252" w:rsidRDefault="001B70B4" w:rsidP="001237B1">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3C5252">
              <w:rPr>
                <w:rFonts w:eastAsia="Times New Roman" w:cstheme="minorHAnsi"/>
                <w:color w:val="000000"/>
                <w:sz w:val="24"/>
                <w:szCs w:val="24"/>
              </w:rPr>
              <w:t> Provide and analyze data</w:t>
            </w:r>
          </w:p>
        </w:tc>
      </w:tr>
      <w:tr w:rsidR="001B70B4" w:rsidRPr="003C5252" w:rsidTr="001237B1">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445" w:type="dxa"/>
            <w:noWrap/>
            <w:hideMark/>
          </w:tcPr>
          <w:p w:rsidR="001B70B4" w:rsidRPr="003C5252" w:rsidRDefault="001B70B4" w:rsidP="001237B1">
            <w:pPr>
              <w:contextualSpacing/>
              <w:rPr>
                <w:rFonts w:cstheme="minorHAnsi"/>
                <w:b w:val="0"/>
                <w:bCs w:val="0"/>
                <w:sz w:val="24"/>
                <w:szCs w:val="24"/>
              </w:rPr>
            </w:pPr>
            <w:r w:rsidRPr="003C5252">
              <w:rPr>
                <w:rFonts w:cstheme="minorHAnsi"/>
                <w:b w:val="0"/>
                <w:bCs w:val="0"/>
                <w:sz w:val="24"/>
                <w:szCs w:val="24"/>
              </w:rPr>
              <w:t>John Terry</w:t>
            </w:r>
          </w:p>
        </w:tc>
        <w:tc>
          <w:tcPr>
            <w:tcW w:w="4153" w:type="dxa"/>
            <w:noWrap/>
            <w:hideMark/>
          </w:tcPr>
          <w:p w:rsidR="001B70B4" w:rsidRPr="003C5252" w:rsidRDefault="001B70B4" w:rsidP="001237B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3C5252">
              <w:rPr>
                <w:rFonts w:eastAsia="Times New Roman" w:cstheme="minorHAnsi"/>
                <w:color w:val="000000"/>
                <w:sz w:val="24"/>
                <w:szCs w:val="24"/>
              </w:rPr>
              <w:t xml:space="preserve">Oklahoma Bureau of Narcotics </w:t>
            </w:r>
          </w:p>
        </w:tc>
        <w:tc>
          <w:tcPr>
            <w:tcW w:w="4126" w:type="dxa"/>
            <w:noWrap/>
            <w:hideMark/>
          </w:tcPr>
          <w:p w:rsidR="001B70B4" w:rsidRPr="003C5252" w:rsidRDefault="001B70B4" w:rsidP="001237B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3C5252">
              <w:rPr>
                <w:rFonts w:eastAsia="Times New Roman" w:cstheme="minorHAnsi"/>
                <w:color w:val="000000"/>
                <w:sz w:val="24"/>
                <w:szCs w:val="24"/>
              </w:rPr>
              <w:t>Provide and analyze data</w:t>
            </w:r>
          </w:p>
        </w:tc>
      </w:tr>
    </w:tbl>
    <w:p w:rsidR="001B70B4" w:rsidRPr="003C5252" w:rsidRDefault="001B70B4" w:rsidP="001B70B4">
      <w:pPr>
        <w:rPr>
          <w:rFonts w:cstheme="minorHAnsi"/>
          <w:sz w:val="24"/>
          <w:szCs w:val="28"/>
        </w:rPr>
      </w:pPr>
    </w:p>
    <w:p w:rsidR="001B70B4" w:rsidRDefault="001B70B4" w:rsidP="006731AC">
      <w:pPr>
        <w:jc w:val="both"/>
        <w:rPr>
          <w:rFonts w:cstheme="minorHAnsi"/>
          <w:sz w:val="24"/>
          <w:szCs w:val="28"/>
        </w:rPr>
      </w:pPr>
      <w:r w:rsidRPr="003C5252">
        <w:rPr>
          <w:rFonts w:cstheme="minorHAnsi"/>
          <w:sz w:val="24"/>
          <w:szCs w:val="28"/>
        </w:rPr>
        <w:t>The Regional Epidemiological Outcomes Workgroup had its first meeting on September 18</w:t>
      </w:r>
      <w:r w:rsidRPr="003C5252">
        <w:rPr>
          <w:rFonts w:cstheme="minorHAnsi"/>
          <w:sz w:val="24"/>
          <w:szCs w:val="28"/>
          <w:vertAlign w:val="superscript"/>
        </w:rPr>
        <w:t>th</w:t>
      </w:r>
      <w:r w:rsidRPr="003C5252">
        <w:rPr>
          <w:rFonts w:cstheme="minorHAnsi"/>
          <w:sz w:val="24"/>
          <w:szCs w:val="28"/>
        </w:rPr>
        <w:t>, 2015 in Ardmore, O</w:t>
      </w:r>
      <w:r>
        <w:rPr>
          <w:rFonts w:cstheme="minorHAnsi"/>
          <w:sz w:val="24"/>
          <w:szCs w:val="28"/>
        </w:rPr>
        <w:t>K</w:t>
      </w:r>
      <w:r w:rsidRPr="003C5252">
        <w:rPr>
          <w:rFonts w:cstheme="minorHAnsi"/>
          <w:sz w:val="24"/>
          <w:szCs w:val="28"/>
        </w:rPr>
        <w:t xml:space="preserve"> (Carter Co.). The REOW collected and analyzed community and regional level data to help determine the intermediate variables that are influencing and causing the sale and consumption of alcohol in underage youth and the non-medical use of prescription drugs. </w:t>
      </w:r>
    </w:p>
    <w:p w:rsidR="001B70B4" w:rsidRDefault="001B70B4" w:rsidP="001B70B4">
      <w:pPr>
        <w:rPr>
          <w:rFonts w:cstheme="minorHAnsi"/>
          <w:sz w:val="24"/>
          <w:szCs w:val="28"/>
        </w:rPr>
      </w:pPr>
      <w:r w:rsidRPr="003C5252">
        <w:rPr>
          <w:rFonts w:cstheme="minorHAnsi"/>
          <w:b/>
          <w:sz w:val="28"/>
          <w:szCs w:val="28"/>
          <w:u w:val="single"/>
        </w:rPr>
        <w:lastRenderedPageBreak/>
        <w:t>Regional Overview and Demographics</w:t>
      </w:r>
    </w:p>
    <w:p w:rsidR="001B70B4" w:rsidRPr="00DC4666" w:rsidRDefault="001B70B4" w:rsidP="006731AC">
      <w:pPr>
        <w:jc w:val="both"/>
        <w:rPr>
          <w:rFonts w:cstheme="minorHAnsi"/>
          <w:sz w:val="24"/>
          <w:szCs w:val="28"/>
        </w:rPr>
      </w:pPr>
      <w:r w:rsidRPr="003C5252">
        <w:rPr>
          <w:rFonts w:cstheme="minorHAnsi"/>
          <w:sz w:val="24"/>
          <w:szCs w:val="24"/>
        </w:rPr>
        <w:t>Region 10 is located in south central Oklahoma, with several of the counties along the Oklahoma-Texas border.  According to the 2010 census findings, this region makes up roughly 5.5% of the state’s population with 204,749 Oklahomans residing in this area.  As a region, there was an 8.0% increase from the 2000 census results.  Within this population, 75.5% (154,585) were classified as white, 3.0% (6,142.47) were black, 11.6% (23,751) were American Indian, and 6.0% (12,285) were Hispanic or Latino.  The percentage of Region 10 residents living at the poverty level in 2009 was 18.2%.  The percentage of adults in Region 10 over the age of twenty-five who graduated high school as of 2009 was 81.3%.  About 18.0% of county residents held at least a four-year college degree.</w:t>
      </w:r>
    </w:p>
    <w:p w:rsidR="001B70B4" w:rsidRPr="003C5252" w:rsidRDefault="001B70B4" w:rsidP="001B70B4">
      <w:pPr>
        <w:widowControl w:val="0"/>
        <w:contextualSpacing/>
        <w:rPr>
          <w:rFonts w:cstheme="minorHAnsi"/>
          <w:b/>
          <w:sz w:val="24"/>
          <w:szCs w:val="24"/>
        </w:rPr>
      </w:pPr>
      <w:r w:rsidRPr="003C5252">
        <w:rPr>
          <w:rFonts w:cstheme="minorHAnsi"/>
          <w:b/>
          <w:sz w:val="24"/>
          <w:szCs w:val="24"/>
        </w:rPr>
        <w:t xml:space="preserve">Table 2:  Region 10 Demographic Data </w:t>
      </w:r>
    </w:p>
    <w:tbl>
      <w:tblPr>
        <w:tblStyle w:val="MediumShading112"/>
        <w:tblpPr w:leftFromText="180" w:rightFromText="180" w:vertAnchor="text" w:horzAnchor="margin" w:tblpXSpec="center" w:tblpY="90"/>
        <w:tblW w:w="11700" w:type="dxa"/>
        <w:tblLayout w:type="fixed"/>
        <w:tblLook w:val="04A0" w:firstRow="1" w:lastRow="0" w:firstColumn="1" w:lastColumn="0" w:noHBand="0" w:noVBand="1"/>
      </w:tblPr>
      <w:tblGrid>
        <w:gridCol w:w="3618"/>
        <w:gridCol w:w="810"/>
        <w:gridCol w:w="900"/>
        <w:gridCol w:w="810"/>
        <w:gridCol w:w="990"/>
        <w:gridCol w:w="810"/>
        <w:gridCol w:w="990"/>
        <w:gridCol w:w="920"/>
        <w:gridCol w:w="999"/>
        <w:gridCol w:w="853"/>
      </w:tblGrid>
      <w:tr w:rsidR="001B70B4" w:rsidRPr="003C5252" w:rsidTr="001237B1">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618" w:type="dxa"/>
            <w:tcBorders>
              <w:bottom w:val="nil"/>
              <w:right w:val="threeDEngrave" w:sz="12" w:space="0" w:color="auto"/>
            </w:tcBorders>
          </w:tcPr>
          <w:p w:rsidR="001B70B4" w:rsidRPr="003C5252" w:rsidRDefault="001B70B4" w:rsidP="001237B1">
            <w:pPr>
              <w:widowControl w:val="0"/>
              <w:contextualSpacing/>
              <w:rPr>
                <w:rFonts w:cstheme="minorHAnsi"/>
                <w:sz w:val="24"/>
                <w:szCs w:val="24"/>
              </w:rPr>
            </w:pPr>
            <w:r w:rsidRPr="003C5252">
              <w:rPr>
                <w:rFonts w:cstheme="minorHAnsi"/>
                <w:sz w:val="24"/>
                <w:szCs w:val="24"/>
              </w:rPr>
              <w:t>Category</w:t>
            </w:r>
          </w:p>
        </w:tc>
        <w:tc>
          <w:tcPr>
            <w:tcW w:w="810" w:type="dxa"/>
            <w:tcBorders>
              <w:left w:val="threeDEngrave" w:sz="12" w:space="0" w:color="auto"/>
              <w:bottom w:val="nil"/>
              <w:right w:val="threeDEngrave" w:sz="12" w:space="0" w:color="auto"/>
            </w:tcBorders>
          </w:tcPr>
          <w:p w:rsidR="001B70B4" w:rsidRPr="003C5252" w:rsidRDefault="001B70B4" w:rsidP="001237B1">
            <w:pPr>
              <w:widowControl w:val="0"/>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3C5252">
              <w:rPr>
                <w:rFonts w:cstheme="minorHAnsi"/>
              </w:rPr>
              <w:t>Bryan</w:t>
            </w:r>
          </w:p>
        </w:tc>
        <w:tc>
          <w:tcPr>
            <w:tcW w:w="900" w:type="dxa"/>
            <w:tcBorders>
              <w:left w:val="threeDEngrave" w:sz="12" w:space="0" w:color="auto"/>
              <w:bottom w:val="nil"/>
              <w:right w:val="threeDEngrave" w:sz="12" w:space="0" w:color="auto"/>
            </w:tcBorders>
          </w:tcPr>
          <w:p w:rsidR="001B70B4" w:rsidRPr="003C5252" w:rsidRDefault="001B70B4" w:rsidP="001237B1">
            <w:pPr>
              <w:widowControl w:val="0"/>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3C5252">
              <w:rPr>
                <w:rFonts w:cstheme="minorHAnsi"/>
              </w:rPr>
              <w:t>Carter</w:t>
            </w:r>
          </w:p>
        </w:tc>
        <w:tc>
          <w:tcPr>
            <w:tcW w:w="810" w:type="dxa"/>
            <w:tcBorders>
              <w:left w:val="threeDEngrave" w:sz="12" w:space="0" w:color="auto"/>
              <w:bottom w:val="nil"/>
              <w:right w:val="threeDEngrave" w:sz="12" w:space="0" w:color="auto"/>
            </w:tcBorders>
          </w:tcPr>
          <w:p w:rsidR="001B70B4" w:rsidRPr="003C5252" w:rsidRDefault="001B70B4" w:rsidP="001237B1">
            <w:pPr>
              <w:widowControl w:val="0"/>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3C5252">
              <w:rPr>
                <w:rFonts w:cstheme="minorHAnsi"/>
              </w:rPr>
              <w:t>Garvin</w:t>
            </w:r>
          </w:p>
        </w:tc>
        <w:tc>
          <w:tcPr>
            <w:tcW w:w="990" w:type="dxa"/>
            <w:tcBorders>
              <w:left w:val="threeDEngrave" w:sz="12" w:space="0" w:color="auto"/>
              <w:bottom w:val="nil"/>
              <w:right w:val="threeDEngrave" w:sz="12" w:space="0" w:color="auto"/>
            </w:tcBorders>
          </w:tcPr>
          <w:p w:rsidR="001B70B4" w:rsidRPr="003C5252" w:rsidRDefault="001B70B4" w:rsidP="001237B1">
            <w:pPr>
              <w:widowControl w:val="0"/>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3C5252">
              <w:rPr>
                <w:rFonts w:cstheme="minorHAnsi"/>
              </w:rPr>
              <w:t>Johnston</w:t>
            </w:r>
          </w:p>
        </w:tc>
        <w:tc>
          <w:tcPr>
            <w:tcW w:w="810" w:type="dxa"/>
            <w:tcBorders>
              <w:left w:val="threeDEngrave" w:sz="12" w:space="0" w:color="auto"/>
              <w:bottom w:val="nil"/>
              <w:right w:val="threeDEngrave" w:sz="12" w:space="0" w:color="auto"/>
            </w:tcBorders>
          </w:tcPr>
          <w:p w:rsidR="001B70B4" w:rsidRPr="003C5252" w:rsidRDefault="001B70B4" w:rsidP="001237B1">
            <w:pPr>
              <w:widowControl w:val="0"/>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3C5252">
              <w:rPr>
                <w:rFonts w:cstheme="minorHAnsi"/>
              </w:rPr>
              <w:t>Love</w:t>
            </w:r>
          </w:p>
        </w:tc>
        <w:tc>
          <w:tcPr>
            <w:tcW w:w="990" w:type="dxa"/>
            <w:tcBorders>
              <w:left w:val="threeDEngrave" w:sz="12" w:space="0" w:color="auto"/>
              <w:bottom w:val="nil"/>
              <w:right w:val="threeDEngrave" w:sz="12" w:space="0" w:color="auto"/>
            </w:tcBorders>
          </w:tcPr>
          <w:p w:rsidR="001B70B4" w:rsidRPr="003C5252" w:rsidRDefault="001B70B4" w:rsidP="001237B1">
            <w:pPr>
              <w:widowControl w:val="0"/>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3C5252">
              <w:rPr>
                <w:rFonts w:cstheme="minorHAnsi"/>
              </w:rPr>
              <w:t>Marshall</w:t>
            </w:r>
          </w:p>
        </w:tc>
        <w:tc>
          <w:tcPr>
            <w:tcW w:w="920" w:type="dxa"/>
            <w:tcBorders>
              <w:left w:val="threeDEngrave" w:sz="12" w:space="0" w:color="auto"/>
              <w:bottom w:val="nil"/>
              <w:right w:val="threeDEngrave" w:sz="12" w:space="0" w:color="auto"/>
            </w:tcBorders>
          </w:tcPr>
          <w:p w:rsidR="001B70B4" w:rsidRPr="003C5252" w:rsidRDefault="001B70B4" w:rsidP="001237B1">
            <w:pPr>
              <w:widowControl w:val="0"/>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3C5252">
              <w:rPr>
                <w:rFonts w:cstheme="minorHAnsi"/>
              </w:rPr>
              <w:t>Murray</w:t>
            </w:r>
          </w:p>
        </w:tc>
        <w:tc>
          <w:tcPr>
            <w:tcW w:w="999" w:type="dxa"/>
            <w:tcBorders>
              <w:left w:val="threeDEngrave" w:sz="12" w:space="0" w:color="auto"/>
              <w:bottom w:val="nil"/>
              <w:right w:val="threeDEngrave" w:sz="12" w:space="0" w:color="auto"/>
            </w:tcBorders>
          </w:tcPr>
          <w:p w:rsidR="001B70B4" w:rsidRPr="003C5252" w:rsidRDefault="001B70B4" w:rsidP="001237B1">
            <w:pPr>
              <w:widowControl w:val="0"/>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3C5252">
              <w:rPr>
                <w:rFonts w:cstheme="minorHAnsi"/>
              </w:rPr>
              <w:t>Pontotoc</w:t>
            </w:r>
          </w:p>
        </w:tc>
        <w:tc>
          <w:tcPr>
            <w:tcW w:w="853" w:type="dxa"/>
            <w:tcBorders>
              <w:left w:val="threeDEngrave" w:sz="12" w:space="0" w:color="auto"/>
              <w:bottom w:val="nil"/>
            </w:tcBorders>
          </w:tcPr>
          <w:p w:rsidR="001B70B4" w:rsidRPr="003C5252" w:rsidRDefault="001B70B4" w:rsidP="001237B1">
            <w:pPr>
              <w:widowControl w:val="0"/>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3C5252">
              <w:rPr>
                <w:rFonts w:cstheme="minorHAnsi"/>
              </w:rPr>
              <w:t>Region</w:t>
            </w:r>
          </w:p>
        </w:tc>
      </w:tr>
      <w:tr w:rsidR="001B70B4" w:rsidRPr="003C5252" w:rsidTr="00123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nil"/>
            </w:tcBorders>
          </w:tcPr>
          <w:p w:rsidR="001B70B4" w:rsidRPr="003C5252" w:rsidRDefault="001B70B4" w:rsidP="001237B1">
            <w:pPr>
              <w:widowControl w:val="0"/>
              <w:rPr>
                <w:rFonts w:cstheme="minorHAnsi"/>
                <w:sz w:val="22"/>
                <w:szCs w:val="22"/>
              </w:rPr>
            </w:pPr>
            <w:r w:rsidRPr="003C5252">
              <w:rPr>
                <w:rFonts w:cstheme="minorHAnsi"/>
                <w:sz w:val="22"/>
                <w:szCs w:val="22"/>
              </w:rPr>
              <w:t>Population 2010</w:t>
            </w:r>
          </w:p>
        </w:tc>
        <w:tc>
          <w:tcPr>
            <w:tcW w:w="810" w:type="dxa"/>
            <w:tcBorders>
              <w:top w:val="nil"/>
            </w:tcBorders>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42,416</w:t>
            </w:r>
          </w:p>
        </w:tc>
        <w:tc>
          <w:tcPr>
            <w:tcW w:w="900" w:type="dxa"/>
            <w:tcBorders>
              <w:top w:val="nil"/>
            </w:tcBorders>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47,557</w:t>
            </w:r>
          </w:p>
        </w:tc>
        <w:tc>
          <w:tcPr>
            <w:tcW w:w="810" w:type="dxa"/>
            <w:tcBorders>
              <w:top w:val="nil"/>
            </w:tcBorders>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27,576</w:t>
            </w:r>
          </w:p>
        </w:tc>
        <w:tc>
          <w:tcPr>
            <w:tcW w:w="990" w:type="dxa"/>
            <w:tcBorders>
              <w:top w:val="nil"/>
            </w:tcBorders>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10,957</w:t>
            </w:r>
          </w:p>
        </w:tc>
        <w:tc>
          <w:tcPr>
            <w:tcW w:w="810" w:type="dxa"/>
            <w:tcBorders>
              <w:top w:val="nil"/>
            </w:tcBorders>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9,423</w:t>
            </w:r>
          </w:p>
        </w:tc>
        <w:tc>
          <w:tcPr>
            <w:tcW w:w="990" w:type="dxa"/>
            <w:tcBorders>
              <w:top w:val="nil"/>
            </w:tcBorders>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15,840</w:t>
            </w:r>
          </w:p>
        </w:tc>
        <w:tc>
          <w:tcPr>
            <w:tcW w:w="920" w:type="dxa"/>
            <w:tcBorders>
              <w:top w:val="nil"/>
            </w:tcBorders>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13,488</w:t>
            </w:r>
          </w:p>
        </w:tc>
        <w:tc>
          <w:tcPr>
            <w:tcW w:w="999" w:type="dxa"/>
            <w:tcBorders>
              <w:top w:val="nil"/>
            </w:tcBorders>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37,492</w:t>
            </w:r>
          </w:p>
        </w:tc>
        <w:tc>
          <w:tcPr>
            <w:tcW w:w="853" w:type="dxa"/>
            <w:tcBorders>
              <w:top w:val="nil"/>
            </w:tcBorders>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204,749</w:t>
            </w:r>
          </w:p>
        </w:tc>
      </w:tr>
      <w:tr w:rsidR="001B70B4" w:rsidRPr="003C5252" w:rsidTr="001237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rsidR="001B70B4" w:rsidRPr="003C5252" w:rsidRDefault="001B70B4" w:rsidP="001237B1">
            <w:pPr>
              <w:widowControl w:val="0"/>
              <w:rPr>
                <w:rFonts w:cstheme="minorHAnsi"/>
                <w:sz w:val="22"/>
                <w:szCs w:val="22"/>
              </w:rPr>
            </w:pPr>
            <w:r w:rsidRPr="003C5252">
              <w:rPr>
                <w:rFonts w:cstheme="minorHAnsi"/>
                <w:sz w:val="22"/>
                <w:szCs w:val="22"/>
              </w:rPr>
              <w:t>Population 2005</w:t>
            </w:r>
          </w:p>
        </w:tc>
        <w:tc>
          <w:tcPr>
            <w:tcW w:w="810"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36,534</w:t>
            </w:r>
          </w:p>
        </w:tc>
        <w:tc>
          <w:tcPr>
            <w:tcW w:w="900"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45,621</w:t>
            </w:r>
          </w:p>
        </w:tc>
        <w:tc>
          <w:tcPr>
            <w:tcW w:w="81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27,210</w:t>
            </w:r>
          </w:p>
        </w:tc>
        <w:tc>
          <w:tcPr>
            <w:tcW w:w="99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10,513</w:t>
            </w:r>
          </w:p>
        </w:tc>
        <w:tc>
          <w:tcPr>
            <w:tcW w:w="81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8,831</w:t>
            </w:r>
          </w:p>
        </w:tc>
        <w:tc>
          <w:tcPr>
            <w:tcW w:w="99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13,184</w:t>
            </w:r>
          </w:p>
        </w:tc>
        <w:tc>
          <w:tcPr>
            <w:tcW w:w="92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12,623</w:t>
            </w:r>
          </w:p>
        </w:tc>
        <w:tc>
          <w:tcPr>
            <w:tcW w:w="999"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35,143</w:t>
            </w:r>
          </w:p>
        </w:tc>
        <w:tc>
          <w:tcPr>
            <w:tcW w:w="853"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195,724</w:t>
            </w:r>
          </w:p>
        </w:tc>
      </w:tr>
      <w:tr w:rsidR="001B70B4" w:rsidRPr="003C5252" w:rsidTr="00123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rsidR="001B70B4" w:rsidRPr="003C5252" w:rsidRDefault="001B70B4" w:rsidP="001237B1">
            <w:pPr>
              <w:widowControl w:val="0"/>
              <w:rPr>
                <w:rFonts w:cstheme="minorHAnsi"/>
                <w:sz w:val="22"/>
                <w:szCs w:val="22"/>
              </w:rPr>
            </w:pPr>
            <w:r w:rsidRPr="003C5252">
              <w:rPr>
                <w:rFonts w:cstheme="minorHAnsi"/>
                <w:sz w:val="22"/>
                <w:szCs w:val="22"/>
              </w:rPr>
              <w:t>Population of female in 2010</w:t>
            </w:r>
          </w:p>
        </w:tc>
        <w:tc>
          <w:tcPr>
            <w:tcW w:w="810"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51.1%</w:t>
            </w:r>
          </w:p>
        </w:tc>
        <w:tc>
          <w:tcPr>
            <w:tcW w:w="900"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51.2%</w:t>
            </w:r>
          </w:p>
        </w:tc>
        <w:tc>
          <w:tcPr>
            <w:tcW w:w="81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51.1%</w:t>
            </w:r>
          </w:p>
        </w:tc>
        <w:tc>
          <w:tcPr>
            <w:tcW w:w="99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50.7%</w:t>
            </w:r>
          </w:p>
        </w:tc>
        <w:tc>
          <w:tcPr>
            <w:tcW w:w="81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50.9%</w:t>
            </w:r>
          </w:p>
        </w:tc>
        <w:tc>
          <w:tcPr>
            <w:tcW w:w="99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49.9%</w:t>
            </w:r>
          </w:p>
        </w:tc>
        <w:tc>
          <w:tcPr>
            <w:tcW w:w="92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50.2%</w:t>
            </w:r>
          </w:p>
        </w:tc>
        <w:tc>
          <w:tcPr>
            <w:tcW w:w="999"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51.5%</w:t>
            </w:r>
          </w:p>
        </w:tc>
        <w:tc>
          <w:tcPr>
            <w:tcW w:w="853"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51.0%</w:t>
            </w:r>
          </w:p>
        </w:tc>
      </w:tr>
      <w:tr w:rsidR="001B70B4" w:rsidRPr="003C5252" w:rsidTr="001237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rsidR="001B70B4" w:rsidRPr="003C5252" w:rsidRDefault="001B70B4" w:rsidP="001237B1">
            <w:pPr>
              <w:widowControl w:val="0"/>
              <w:rPr>
                <w:rFonts w:cstheme="minorHAnsi"/>
                <w:sz w:val="22"/>
                <w:szCs w:val="22"/>
              </w:rPr>
            </w:pPr>
            <w:r w:rsidRPr="003C5252">
              <w:rPr>
                <w:rFonts w:cstheme="minorHAnsi"/>
                <w:sz w:val="22"/>
                <w:szCs w:val="22"/>
              </w:rPr>
              <w:t>White   Persons 2010</w:t>
            </w:r>
          </w:p>
        </w:tc>
        <w:tc>
          <w:tcPr>
            <w:tcW w:w="810"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76.2%</w:t>
            </w:r>
          </w:p>
        </w:tc>
        <w:tc>
          <w:tcPr>
            <w:tcW w:w="900"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74.4%</w:t>
            </w:r>
          </w:p>
        </w:tc>
        <w:tc>
          <w:tcPr>
            <w:tcW w:w="81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81.5%</w:t>
            </w:r>
          </w:p>
        </w:tc>
        <w:tc>
          <w:tcPr>
            <w:tcW w:w="99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73.1%</w:t>
            </w:r>
          </w:p>
        </w:tc>
        <w:tc>
          <w:tcPr>
            <w:tcW w:w="81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78.8%</w:t>
            </w:r>
          </w:p>
        </w:tc>
        <w:tc>
          <w:tcPr>
            <w:tcW w:w="99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73.8%</w:t>
            </w:r>
          </w:p>
        </w:tc>
        <w:tc>
          <w:tcPr>
            <w:tcW w:w="92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78.0%</w:t>
            </w:r>
          </w:p>
        </w:tc>
        <w:tc>
          <w:tcPr>
            <w:tcW w:w="999"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71.2%</w:t>
            </w:r>
          </w:p>
        </w:tc>
        <w:tc>
          <w:tcPr>
            <w:tcW w:w="853"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75.5%</w:t>
            </w:r>
          </w:p>
        </w:tc>
      </w:tr>
      <w:tr w:rsidR="001B70B4" w:rsidRPr="003C5252" w:rsidTr="00123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rsidR="001B70B4" w:rsidRPr="003C5252" w:rsidRDefault="001B70B4" w:rsidP="001237B1">
            <w:pPr>
              <w:widowControl w:val="0"/>
              <w:rPr>
                <w:rFonts w:cstheme="minorHAnsi"/>
                <w:sz w:val="22"/>
                <w:szCs w:val="22"/>
              </w:rPr>
            </w:pPr>
            <w:r w:rsidRPr="003C5252">
              <w:rPr>
                <w:rFonts w:cstheme="minorHAnsi"/>
                <w:sz w:val="22"/>
                <w:szCs w:val="22"/>
              </w:rPr>
              <w:t>Black persons 2010</w:t>
            </w:r>
          </w:p>
        </w:tc>
        <w:tc>
          <w:tcPr>
            <w:tcW w:w="810"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1.5%</w:t>
            </w:r>
          </w:p>
        </w:tc>
        <w:tc>
          <w:tcPr>
            <w:tcW w:w="900"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6.7%</w:t>
            </w:r>
          </w:p>
        </w:tc>
        <w:tc>
          <w:tcPr>
            <w:tcW w:w="81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2.6%</w:t>
            </w:r>
          </w:p>
        </w:tc>
        <w:tc>
          <w:tcPr>
            <w:tcW w:w="99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1.9%</w:t>
            </w:r>
          </w:p>
        </w:tc>
        <w:tc>
          <w:tcPr>
            <w:tcW w:w="81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1.8%</w:t>
            </w:r>
          </w:p>
        </w:tc>
        <w:tc>
          <w:tcPr>
            <w:tcW w:w="99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1.5%</w:t>
            </w:r>
          </w:p>
        </w:tc>
        <w:tc>
          <w:tcPr>
            <w:tcW w:w="92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1.3%</w:t>
            </w:r>
          </w:p>
        </w:tc>
        <w:tc>
          <w:tcPr>
            <w:tcW w:w="999"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2.4%</w:t>
            </w:r>
          </w:p>
        </w:tc>
        <w:tc>
          <w:tcPr>
            <w:tcW w:w="853"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3.0%</w:t>
            </w:r>
          </w:p>
        </w:tc>
      </w:tr>
      <w:tr w:rsidR="001B70B4" w:rsidRPr="003C5252" w:rsidTr="001237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rsidR="001B70B4" w:rsidRPr="003C5252" w:rsidRDefault="001B70B4" w:rsidP="001237B1">
            <w:pPr>
              <w:widowControl w:val="0"/>
              <w:rPr>
                <w:rFonts w:cstheme="minorHAnsi"/>
                <w:sz w:val="22"/>
                <w:szCs w:val="22"/>
              </w:rPr>
            </w:pPr>
            <w:r w:rsidRPr="003C5252">
              <w:rPr>
                <w:rFonts w:cstheme="minorHAnsi"/>
                <w:sz w:val="22"/>
                <w:szCs w:val="22"/>
              </w:rPr>
              <w:t>A</w:t>
            </w:r>
            <w:r>
              <w:rPr>
                <w:rFonts w:cstheme="minorHAnsi"/>
                <w:sz w:val="22"/>
                <w:szCs w:val="22"/>
              </w:rPr>
              <w:t xml:space="preserve">merican </w:t>
            </w:r>
            <w:r w:rsidRPr="003C5252">
              <w:rPr>
                <w:rFonts w:cstheme="minorHAnsi"/>
                <w:sz w:val="22"/>
                <w:szCs w:val="22"/>
              </w:rPr>
              <w:t>I</w:t>
            </w:r>
            <w:r>
              <w:rPr>
                <w:rFonts w:cstheme="minorHAnsi"/>
                <w:sz w:val="22"/>
                <w:szCs w:val="22"/>
              </w:rPr>
              <w:t>ndian</w:t>
            </w:r>
            <w:r w:rsidRPr="003C5252">
              <w:rPr>
                <w:rFonts w:cstheme="minorHAnsi"/>
                <w:sz w:val="22"/>
                <w:szCs w:val="22"/>
              </w:rPr>
              <w:t>/A</w:t>
            </w:r>
            <w:r>
              <w:rPr>
                <w:rFonts w:cstheme="minorHAnsi"/>
                <w:sz w:val="22"/>
                <w:szCs w:val="22"/>
              </w:rPr>
              <w:t>laskan Native</w:t>
            </w:r>
            <w:r w:rsidRPr="003C5252">
              <w:rPr>
                <w:rFonts w:cstheme="minorHAnsi"/>
                <w:sz w:val="22"/>
                <w:szCs w:val="22"/>
              </w:rPr>
              <w:t xml:space="preserve"> persons 2010</w:t>
            </w:r>
          </w:p>
        </w:tc>
        <w:tc>
          <w:tcPr>
            <w:tcW w:w="810"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12.9%</w:t>
            </w:r>
          </w:p>
        </w:tc>
        <w:tc>
          <w:tcPr>
            <w:tcW w:w="900"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8.9%</w:t>
            </w:r>
          </w:p>
        </w:tc>
        <w:tc>
          <w:tcPr>
            <w:tcW w:w="81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7.8%</w:t>
            </w:r>
          </w:p>
        </w:tc>
        <w:tc>
          <w:tcPr>
            <w:tcW w:w="99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15.5%</w:t>
            </w:r>
          </w:p>
        </w:tc>
        <w:tc>
          <w:tcPr>
            <w:tcW w:w="81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6.2%</w:t>
            </w:r>
          </w:p>
        </w:tc>
        <w:tc>
          <w:tcPr>
            <w:tcW w:w="99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9.7%</w:t>
            </w:r>
          </w:p>
        </w:tc>
        <w:tc>
          <w:tcPr>
            <w:tcW w:w="92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12.1%</w:t>
            </w:r>
          </w:p>
        </w:tc>
        <w:tc>
          <w:tcPr>
            <w:tcW w:w="999"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17.4%</w:t>
            </w:r>
          </w:p>
        </w:tc>
        <w:tc>
          <w:tcPr>
            <w:tcW w:w="853"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11.6%</w:t>
            </w:r>
          </w:p>
        </w:tc>
      </w:tr>
      <w:tr w:rsidR="001B70B4" w:rsidRPr="003C5252" w:rsidTr="00123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rsidR="001B70B4" w:rsidRPr="003C5252" w:rsidRDefault="001B70B4" w:rsidP="001237B1">
            <w:pPr>
              <w:widowControl w:val="0"/>
              <w:rPr>
                <w:rFonts w:cstheme="minorHAnsi"/>
                <w:sz w:val="22"/>
                <w:szCs w:val="22"/>
              </w:rPr>
            </w:pPr>
            <w:r w:rsidRPr="003C5252">
              <w:rPr>
                <w:rFonts w:cstheme="minorHAnsi"/>
                <w:sz w:val="22"/>
                <w:szCs w:val="22"/>
              </w:rPr>
              <w:t>Asian persons 2010</w:t>
            </w:r>
          </w:p>
        </w:tc>
        <w:tc>
          <w:tcPr>
            <w:tcW w:w="810"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0.5%</w:t>
            </w:r>
          </w:p>
        </w:tc>
        <w:tc>
          <w:tcPr>
            <w:tcW w:w="900"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1.1%</w:t>
            </w:r>
          </w:p>
        </w:tc>
        <w:tc>
          <w:tcPr>
            <w:tcW w:w="81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0.4%</w:t>
            </w:r>
          </w:p>
        </w:tc>
        <w:tc>
          <w:tcPr>
            <w:tcW w:w="99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0.2%</w:t>
            </w:r>
          </w:p>
        </w:tc>
        <w:tc>
          <w:tcPr>
            <w:tcW w:w="81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0.5%</w:t>
            </w:r>
          </w:p>
        </w:tc>
        <w:tc>
          <w:tcPr>
            <w:tcW w:w="99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0.2%</w:t>
            </w:r>
          </w:p>
        </w:tc>
        <w:tc>
          <w:tcPr>
            <w:tcW w:w="92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0.4%</w:t>
            </w:r>
          </w:p>
        </w:tc>
        <w:tc>
          <w:tcPr>
            <w:tcW w:w="999"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0.7%</w:t>
            </w:r>
          </w:p>
        </w:tc>
        <w:tc>
          <w:tcPr>
            <w:tcW w:w="853"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0.6%</w:t>
            </w:r>
          </w:p>
        </w:tc>
      </w:tr>
      <w:tr w:rsidR="001B70B4" w:rsidRPr="003C5252" w:rsidTr="001237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rsidR="001B70B4" w:rsidRPr="003C5252" w:rsidRDefault="001B70B4" w:rsidP="001237B1">
            <w:pPr>
              <w:widowControl w:val="0"/>
              <w:rPr>
                <w:rFonts w:cstheme="minorHAnsi"/>
                <w:sz w:val="22"/>
                <w:szCs w:val="22"/>
              </w:rPr>
            </w:pPr>
            <w:r w:rsidRPr="003C5252">
              <w:rPr>
                <w:rFonts w:cstheme="minorHAnsi"/>
                <w:sz w:val="22"/>
                <w:szCs w:val="22"/>
              </w:rPr>
              <w:t>Persons reporting 2 or more races</w:t>
            </w:r>
          </w:p>
        </w:tc>
        <w:tc>
          <w:tcPr>
            <w:tcW w:w="810"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7.1%</w:t>
            </w:r>
          </w:p>
        </w:tc>
        <w:tc>
          <w:tcPr>
            <w:tcW w:w="900"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6.6%</w:t>
            </w:r>
          </w:p>
        </w:tc>
        <w:tc>
          <w:tcPr>
            <w:tcW w:w="81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4.9%</w:t>
            </w:r>
          </w:p>
        </w:tc>
        <w:tc>
          <w:tcPr>
            <w:tcW w:w="99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7.9%</w:t>
            </w:r>
          </w:p>
        </w:tc>
        <w:tc>
          <w:tcPr>
            <w:tcW w:w="81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4.9%</w:t>
            </w:r>
          </w:p>
        </w:tc>
        <w:tc>
          <w:tcPr>
            <w:tcW w:w="99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6.0%</w:t>
            </w:r>
          </w:p>
        </w:tc>
        <w:tc>
          <w:tcPr>
            <w:tcW w:w="92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6.2%</w:t>
            </w:r>
          </w:p>
        </w:tc>
        <w:tc>
          <w:tcPr>
            <w:tcW w:w="999"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7.2%</w:t>
            </w:r>
          </w:p>
        </w:tc>
        <w:tc>
          <w:tcPr>
            <w:tcW w:w="853"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6.5%</w:t>
            </w:r>
          </w:p>
        </w:tc>
      </w:tr>
      <w:tr w:rsidR="001B70B4" w:rsidRPr="003C5252" w:rsidTr="00123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rsidR="001B70B4" w:rsidRPr="003C5252" w:rsidRDefault="001B70B4" w:rsidP="001237B1">
            <w:pPr>
              <w:widowControl w:val="0"/>
              <w:rPr>
                <w:rFonts w:cstheme="minorHAnsi"/>
                <w:sz w:val="22"/>
                <w:szCs w:val="22"/>
              </w:rPr>
            </w:pPr>
            <w:r w:rsidRPr="003C5252">
              <w:rPr>
                <w:rFonts w:cstheme="minorHAnsi"/>
                <w:sz w:val="22"/>
                <w:szCs w:val="22"/>
              </w:rPr>
              <w:t>Persons of Hispanic or Latino origin</w:t>
            </w:r>
          </w:p>
        </w:tc>
        <w:tc>
          <w:tcPr>
            <w:tcW w:w="810"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5.0%</w:t>
            </w:r>
          </w:p>
        </w:tc>
        <w:tc>
          <w:tcPr>
            <w:tcW w:w="900"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5.3%</w:t>
            </w:r>
          </w:p>
        </w:tc>
        <w:tc>
          <w:tcPr>
            <w:tcW w:w="81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6.2%</w:t>
            </w:r>
          </w:p>
        </w:tc>
        <w:tc>
          <w:tcPr>
            <w:tcW w:w="99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3.9%</w:t>
            </w:r>
          </w:p>
        </w:tc>
        <w:tc>
          <w:tcPr>
            <w:tcW w:w="81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11.8%</w:t>
            </w:r>
          </w:p>
        </w:tc>
        <w:tc>
          <w:tcPr>
            <w:tcW w:w="99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14.0%</w:t>
            </w:r>
          </w:p>
        </w:tc>
        <w:tc>
          <w:tcPr>
            <w:tcW w:w="92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4.9%</w:t>
            </w:r>
          </w:p>
        </w:tc>
        <w:tc>
          <w:tcPr>
            <w:tcW w:w="999"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4.1%</w:t>
            </w:r>
          </w:p>
        </w:tc>
        <w:tc>
          <w:tcPr>
            <w:tcW w:w="853"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6.0%</w:t>
            </w:r>
          </w:p>
        </w:tc>
      </w:tr>
      <w:tr w:rsidR="001B70B4" w:rsidRPr="003C5252" w:rsidTr="001237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rsidR="001B70B4" w:rsidRPr="003C5252" w:rsidRDefault="001B70B4" w:rsidP="001237B1">
            <w:pPr>
              <w:widowControl w:val="0"/>
              <w:rPr>
                <w:rFonts w:cstheme="minorHAnsi"/>
                <w:sz w:val="22"/>
                <w:szCs w:val="22"/>
              </w:rPr>
            </w:pPr>
            <w:r w:rsidRPr="003C5252">
              <w:rPr>
                <w:rFonts w:cstheme="minorHAnsi"/>
                <w:sz w:val="22"/>
                <w:szCs w:val="22"/>
              </w:rPr>
              <w:t>High school graduates age 25+ 2010</w:t>
            </w:r>
          </w:p>
        </w:tc>
        <w:tc>
          <w:tcPr>
            <w:tcW w:w="810"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84.1%</w:t>
            </w:r>
          </w:p>
        </w:tc>
        <w:tc>
          <w:tcPr>
            <w:tcW w:w="900"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83.2%</w:t>
            </w:r>
          </w:p>
        </w:tc>
        <w:tc>
          <w:tcPr>
            <w:tcW w:w="81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80.5%</w:t>
            </w:r>
          </w:p>
        </w:tc>
        <w:tc>
          <w:tcPr>
            <w:tcW w:w="99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81.2%</w:t>
            </w:r>
          </w:p>
        </w:tc>
        <w:tc>
          <w:tcPr>
            <w:tcW w:w="81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78.3%</w:t>
            </w:r>
          </w:p>
        </w:tc>
        <w:tc>
          <w:tcPr>
            <w:tcW w:w="99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79.6%</w:t>
            </w:r>
          </w:p>
        </w:tc>
        <w:tc>
          <w:tcPr>
            <w:tcW w:w="92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79.8%</w:t>
            </w:r>
          </w:p>
        </w:tc>
        <w:tc>
          <w:tcPr>
            <w:tcW w:w="999"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84.4%</w:t>
            </w:r>
          </w:p>
        </w:tc>
        <w:tc>
          <w:tcPr>
            <w:tcW w:w="853"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81.3%</w:t>
            </w:r>
          </w:p>
        </w:tc>
      </w:tr>
      <w:tr w:rsidR="001B70B4" w:rsidRPr="003C5252" w:rsidTr="00123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rsidR="001B70B4" w:rsidRPr="003C5252" w:rsidRDefault="001B70B4" w:rsidP="001237B1">
            <w:pPr>
              <w:widowControl w:val="0"/>
              <w:rPr>
                <w:rFonts w:cstheme="minorHAnsi"/>
                <w:sz w:val="22"/>
                <w:szCs w:val="22"/>
              </w:rPr>
            </w:pPr>
            <w:r w:rsidRPr="003C5252">
              <w:rPr>
                <w:rFonts w:cstheme="minorHAnsi"/>
                <w:sz w:val="22"/>
                <w:szCs w:val="22"/>
              </w:rPr>
              <w:t xml:space="preserve">Bachelor’s degree or higher age 25+ </w:t>
            </w:r>
          </w:p>
        </w:tc>
        <w:tc>
          <w:tcPr>
            <w:tcW w:w="810"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20.3%</w:t>
            </w:r>
          </w:p>
        </w:tc>
        <w:tc>
          <w:tcPr>
            <w:tcW w:w="900"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16.4%</w:t>
            </w:r>
          </w:p>
        </w:tc>
        <w:tc>
          <w:tcPr>
            <w:tcW w:w="81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15.4%</w:t>
            </w:r>
          </w:p>
        </w:tc>
        <w:tc>
          <w:tcPr>
            <w:tcW w:w="99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19.0%</w:t>
            </w:r>
          </w:p>
        </w:tc>
        <w:tc>
          <w:tcPr>
            <w:tcW w:w="81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13.9%</w:t>
            </w:r>
          </w:p>
        </w:tc>
        <w:tc>
          <w:tcPr>
            <w:tcW w:w="99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15.9%</w:t>
            </w:r>
          </w:p>
        </w:tc>
        <w:tc>
          <w:tcPr>
            <w:tcW w:w="92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13.3%</w:t>
            </w:r>
          </w:p>
        </w:tc>
        <w:tc>
          <w:tcPr>
            <w:tcW w:w="999"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26.2%</w:t>
            </w:r>
          </w:p>
        </w:tc>
        <w:tc>
          <w:tcPr>
            <w:tcW w:w="853"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18.0%</w:t>
            </w:r>
          </w:p>
        </w:tc>
      </w:tr>
      <w:tr w:rsidR="001B70B4" w:rsidRPr="003C5252" w:rsidTr="001237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rsidR="001B70B4" w:rsidRPr="003C5252" w:rsidRDefault="001B70B4" w:rsidP="001237B1">
            <w:pPr>
              <w:widowControl w:val="0"/>
              <w:rPr>
                <w:rFonts w:cstheme="minorHAnsi"/>
                <w:sz w:val="22"/>
                <w:szCs w:val="22"/>
              </w:rPr>
            </w:pPr>
            <w:r w:rsidRPr="003C5252">
              <w:rPr>
                <w:rFonts w:cstheme="minorHAnsi"/>
                <w:sz w:val="22"/>
                <w:szCs w:val="22"/>
              </w:rPr>
              <w:t>Persons below poverty level 2010</w:t>
            </w:r>
          </w:p>
        </w:tc>
        <w:tc>
          <w:tcPr>
            <w:tcW w:w="810"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19.1%</w:t>
            </w:r>
          </w:p>
        </w:tc>
        <w:tc>
          <w:tcPr>
            <w:tcW w:w="900"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16.5%</w:t>
            </w:r>
          </w:p>
        </w:tc>
        <w:tc>
          <w:tcPr>
            <w:tcW w:w="81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15.8%</w:t>
            </w:r>
          </w:p>
        </w:tc>
        <w:tc>
          <w:tcPr>
            <w:tcW w:w="99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19.9%</w:t>
            </w:r>
          </w:p>
        </w:tc>
        <w:tc>
          <w:tcPr>
            <w:tcW w:w="81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14.2%</w:t>
            </w:r>
          </w:p>
        </w:tc>
        <w:tc>
          <w:tcPr>
            <w:tcW w:w="99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14.4%</w:t>
            </w:r>
          </w:p>
        </w:tc>
        <w:tc>
          <w:tcPr>
            <w:tcW w:w="92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15.5%</w:t>
            </w:r>
          </w:p>
        </w:tc>
        <w:tc>
          <w:tcPr>
            <w:tcW w:w="999"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20.5%</w:t>
            </w:r>
          </w:p>
        </w:tc>
        <w:tc>
          <w:tcPr>
            <w:tcW w:w="853"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18.2%</w:t>
            </w:r>
          </w:p>
        </w:tc>
      </w:tr>
      <w:tr w:rsidR="001B70B4" w:rsidRPr="003C5252" w:rsidTr="00123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rsidR="001B70B4" w:rsidRPr="003C5252" w:rsidRDefault="001B70B4" w:rsidP="001237B1">
            <w:pPr>
              <w:widowControl w:val="0"/>
              <w:rPr>
                <w:rFonts w:cstheme="minorHAnsi"/>
                <w:sz w:val="22"/>
                <w:szCs w:val="22"/>
              </w:rPr>
            </w:pPr>
            <w:r w:rsidRPr="003C5252">
              <w:rPr>
                <w:rFonts w:cstheme="minorHAnsi"/>
                <w:sz w:val="22"/>
                <w:szCs w:val="22"/>
              </w:rPr>
              <w:t>Median household income 2010</w:t>
            </w:r>
          </w:p>
        </w:tc>
        <w:tc>
          <w:tcPr>
            <w:tcW w:w="810"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$37,230</w:t>
            </w:r>
          </w:p>
        </w:tc>
        <w:tc>
          <w:tcPr>
            <w:tcW w:w="900"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$38,385</w:t>
            </w:r>
          </w:p>
        </w:tc>
        <w:tc>
          <w:tcPr>
            <w:tcW w:w="81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$37,785</w:t>
            </w:r>
          </w:p>
        </w:tc>
        <w:tc>
          <w:tcPr>
            <w:tcW w:w="99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$34,556</w:t>
            </w:r>
          </w:p>
        </w:tc>
        <w:tc>
          <w:tcPr>
            <w:tcW w:w="81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$41,629</w:t>
            </w:r>
          </w:p>
        </w:tc>
        <w:tc>
          <w:tcPr>
            <w:tcW w:w="99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$40,419</w:t>
            </w:r>
          </w:p>
        </w:tc>
        <w:tc>
          <w:tcPr>
            <w:tcW w:w="920" w:type="dxa"/>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C5252">
              <w:rPr>
                <w:rFonts w:cstheme="minorHAnsi"/>
                <w:sz w:val="16"/>
                <w:szCs w:val="16"/>
              </w:rPr>
              <w:t>$40,870</w:t>
            </w:r>
          </w:p>
        </w:tc>
        <w:tc>
          <w:tcPr>
            <w:tcW w:w="999"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$37,484</w:t>
            </w:r>
          </w:p>
        </w:tc>
        <w:tc>
          <w:tcPr>
            <w:tcW w:w="853" w:type="dxa"/>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3C5252">
              <w:rPr>
                <w:rFonts w:cs="Calibri"/>
                <w:color w:val="000000"/>
                <w:sz w:val="16"/>
                <w:szCs w:val="16"/>
              </w:rPr>
              <w:t>$38,544</w:t>
            </w:r>
          </w:p>
        </w:tc>
      </w:tr>
      <w:tr w:rsidR="001B70B4" w:rsidRPr="003C5252" w:rsidTr="001237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rsidR="001B70B4" w:rsidRPr="003C5252" w:rsidRDefault="001B70B4" w:rsidP="001237B1">
            <w:pPr>
              <w:widowControl w:val="0"/>
              <w:rPr>
                <w:rFonts w:cstheme="minorHAnsi"/>
                <w:sz w:val="22"/>
                <w:szCs w:val="22"/>
              </w:rPr>
            </w:pPr>
            <w:r w:rsidRPr="003C5252">
              <w:rPr>
                <w:rFonts w:cstheme="minorHAnsi"/>
                <w:sz w:val="22"/>
                <w:szCs w:val="22"/>
              </w:rPr>
              <w:t>Teen pregnancy birth rate 2010</w:t>
            </w:r>
          </w:p>
        </w:tc>
        <w:tc>
          <w:tcPr>
            <w:tcW w:w="81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5.4%</w:t>
            </w:r>
          </w:p>
        </w:tc>
        <w:tc>
          <w:tcPr>
            <w:tcW w:w="900" w:type="dxa"/>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3C5252">
              <w:rPr>
                <w:rFonts w:cs="Calibri"/>
                <w:color w:val="000000"/>
                <w:sz w:val="16"/>
                <w:szCs w:val="16"/>
              </w:rPr>
              <w:t>5.2%</w:t>
            </w:r>
          </w:p>
        </w:tc>
        <w:tc>
          <w:tcPr>
            <w:tcW w:w="81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4.5%</w:t>
            </w:r>
          </w:p>
        </w:tc>
        <w:tc>
          <w:tcPr>
            <w:tcW w:w="99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7.0%</w:t>
            </w:r>
          </w:p>
        </w:tc>
        <w:tc>
          <w:tcPr>
            <w:tcW w:w="81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5.6%</w:t>
            </w:r>
          </w:p>
        </w:tc>
        <w:tc>
          <w:tcPr>
            <w:tcW w:w="99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5.2%</w:t>
            </w:r>
          </w:p>
        </w:tc>
        <w:tc>
          <w:tcPr>
            <w:tcW w:w="920"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6.5%</w:t>
            </w:r>
          </w:p>
        </w:tc>
        <w:tc>
          <w:tcPr>
            <w:tcW w:w="999"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4.2%</w:t>
            </w:r>
          </w:p>
        </w:tc>
        <w:tc>
          <w:tcPr>
            <w:tcW w:w="853" w:type="dxa"/>
          </w:tcPr>
          <w:p w:rsidR="001B70B4" w:rsidRPr="003C5252" w:rsidRDefault="001B70B4" w:rsidP="001237B1">
            <w:pPr>
              <w:widowControl w:val="0"/>
              <w:jc w:val="center"/>
              <w:cnfStyle w:val="000000010000" w:firstRow="0" w:lastRow="0" w:firstColumn="0" w:lastColumn="0" w:oddVBand="0" w:evenVBand="0" w:oddHBand="0" w:evenHBand="1" w:firstRowFirstColumn="0" w:firstRowLastColumn="0" w:lastRowFirstColumn="0" w:lastRowLastColumn="0"/>
              <w:rPr>
                <w:rFonts w:cstheme="minorHAnsi"/>
                <w:sz w:val="16"/>
                <w:szCs w:val="16"/>
              </w:rPr>
            </w:pPr>
            <w:r w:rsidRPr="003C5252">
              <w:rPr>
                <w:rFonts w:cstheme="minorHAnsi"/>
                <w:sz w:val="16"/>
                <w:szCs w:val="16"/>
              </w:rPr>
              <w:t>5.5%</w:t>
            </w:r>
          </w:p>
        </w:tc>
      </w:tr>
      <w:tr w:rsidR="001B70B4" w:rsidRPr="003C5252" w:rsidTr="00123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0" w:type="dxa"/>
            <w:gridSpan w:val="10"/>
          </w:tcPr>
          <w:p w:rsidR="001B70B4" w:rsidRPr="003C5252" w:rsidRDefault="001B70B4" w:rsidP="001237B1">
            <w:pPr>
              <w:widowControl w:val="0"/>
              <w:jc w:val="right"/>
              <w:rPr>
                <w:rFonts w:cstheme="minorHAnsi"/>
                <w:sz w:val="16"/>
                <w:szCs w:val="16"/>
              </w:rPr>
            </w:pPr>
          </w:p>
          <w:p w:rsidR="001B70B4" w:rsidRPr="003C5252" w:rsidRDefault="001B70B4" w:rsidP="001237B1">
            <w:pPr>
              <w:widowControl w:val="0"/>
              <w:jc w:val="center"/>
              <w:rPr>
                <w:rFonts w:cstheme="minorHAnsi"/>
              </w:rPr>
            </w:pPr>
            <w:r w:rsidRPr="003C5252">
              <w:rPr>
                <w:rFonts w:cstheme="minorHAnsi"/>
              </w:rPr>
              <w:t>Sources: 2010 US Census Bureau, US Department of Health &amp; Human Services: Community Health Status Indicators 2009</w:t>
            </w:r>
          </w:p>
          <w:p w:rsidR="001B70B4" w:rsidRPr="003C5252" w:rsidRDefault="001B70B4" w:rsidP="001237B1">
            <w:pPr>
              <w:widowControl w:val="0"/>
              <w:jc w:val="right"/>
              <w:rPr>
                <w:rFonts w:cstheme="minorHAnsi"/>
                <w:sz w:val="16"/>
                <w:szCs w:val="16"/>
              </w:rPr>
            </w:pPr>
          </w:p>
        </w:tc>
      </w:tr>
    </w:tbl>
    <w:p w:rsidR="001B70B4" w:rsidRPr="003C5252" w:rsidRDefault="001B70B4" w:rsidP="001B70B4"/>
    <w:p w:rsidR="001B70B4" w:rsidRPr="003C5252" w:rsidRDefault="001B70B4" w:rsidP="001B70B4"/>
    <w:p w:rsidR="001B70B4" w:rsidRPr="003C5252" w:rsidRDefault="001B70B4" w:rsidP="001B70B4"/>
    <w:p w:rsidR="001B70B4" w:rsidRPr="003C5252" w:rsidRDefault="001B70B4" w:rsidP="001B70B4"/>
    <w:p w:rsidR="001B70B4" w:rsidRPr="003C5252" w:rsidRDefault="001B70B4" w:rsidP="001B70B4"/>
    <w:p w:rsidR="001B70B4" w:rsidRPr="003C5252" w:rsidRDefault="001B70B4" w:rsidP="001B70B4"/>
    <w:p w:rsidR="001B70B4" w:rsidRPr="003C5252" w:rsidRDefault="001B70B4" w:rsidP="001B70B4">
      <w:pPr>
        <w:jc w:val="center"/>
        <w:rPr>
          <w:rFonts w:cstheme="minorHAnsi"/>
          <w:b/>
          <w:sz w:val="28"/>
          <w:szCs w:val="28"/>
          <w:u w:val="single"/>
        </w:rPr>
      </w:pPr>
      <w:r w:rsidRPr="003C5252">
        <w:rPr>
          <w:rFonts w:cstheme="minorHAnsi"/>
          <w:b/>
          <w:sz w:val="28"/>
          <w:szCs w:val="28"/>
          <w:u w:val="single"/>
        </w:rPr>
        <w:lastRenderedPageBreak/>
        <w:t>Substance Abuse Consumption &amp; Consequences Table</w:t>
      </w:r>
    </w:p>
    <w:p w:rsidR="001B70B4" w:rsidRPr="003C5252" w:rsidRDefault="001B70B4" w:rsidP="001B70B4">
      <w:pPr>
        <w:rPr>
          <w:rFonts w:cstheme="minorHAnsi"/>
          <w:sz w:val="24"/>
          <w:szCs w:val="24"/>
        </w:rPr>
      </w:pPr>
      <w:r w:rsidRPr="003C5252">
        <w:rPr>
          <w:rFonts w:ascii="Calibri" w:hAnsi="Calibri" w:cs="Calibri"/>
          <w:sz w:val="24"/>
          <w:szCs w:val="24"/>
        </w:rPr>
        <w:t>The information in this table was utilized to determine the effects of substance use and abuse within Region 10 and its individual counties.</w:t>
      </w:r>
    </w:p>
    <w:p w:rsidR="001B70B4" w:rsidRPr="003C5252" w:rsidRDefault="001B70B4" w:rsidP="001B70B4">
      <w:pPr>
        <w:rPr>
          <w:rFonts w:cstheme="minorHAnsi"/>
          <w:b/>
          <w:sz w:val="24"/>
          <w:szCs w:val="24"/>
        </w:rPr>
      </w:pPr>
      <w:r w:rsidRPr="003C5252">
        <w:rPr>
          <w:rFonts w:cstheme="minorHAnsi"/>
          <w:b/>
          <w:sz w:val="24"/>
          <w:szCs w:val="24"/>
        </w:rPr>
        <w:t xml:space="preserve">Table 3:  Substance Abuse Consumption &amp; Consequences Table with Indicators </w:t>
      </w:r>
    </w:p>
    <w:tbl>
      <w:tblPr>
        <w:tblStyle w:val="TableGrid1"/>
        <w:tblW w:w="11322" w:type="dxa"/>
        <w:jc w:val="center"/>
        <w:tblLook w:val="04A0" w:firstRow="1" w:lastRow="0" w:firstColumn="1" w:lastColumn="0" w:noHBand="0" w:noVBand="1"/>
      </w:tblPr>
      <w:tblGrid>
        <w:gridCol w:w="1548"/>
        <w:gridCol w:w="3870"/>
        <w:gridCol w:w="5904"/>
      </w:tblGrid>
      <w:tr w:rsidR="001B70B4" w:rsidRPr="003C5252" w:rsidTr="001237B1">
        <w:trPr>
          <w:trHeight w:val="746"/>
          <w:jc w:val="center"/>
        </w:trPr>
        <w:tc>
          <w:tcPr>
            <w:tcW w:w="11322" w:type="dxa"/>
            <w:gridSpan w:val="3"/>
            <w:tcBorders>
              <w:bottom w:val="triple" w:sz="4" w:space="0" w:color="auto"/>
            </w:tcBorders>
            <w:shd w:val="clear" w:color="auto" w:fill="000000" w:themeFill="text1"/>
          </w:tcPr>
          <w:p w:rsidR="001B70B4" w:rsidRPr="003C5252" w:rsidRDefault="001B70B4" w:rsidP="001237B1">
            <w:pPr>
              <w:widowControl w:val="0"/>
              <w:jc w:val="right"/>
              <w:rPr>
                <w:rFonts w:eastAsia="Times New Roman" w:cs="Calibri"/>
                <w:color w:val="000000"/>
                <w:kern w:val="28"/>
              </w:rPr>
            </w:pPr>
            <w:r w:rsidRPr="003C5252">
              <w:rPr>
                <w:rFonts w:eastAsia="Times New Roman" w:cs="Calibri"/>
                <w:color w:val="000000"/>
                <w:kern w:val="28"/>
              </w:rPr>
              <w:t xml:space="preserve">TABLE: </w:t>
            </w:r>
          </w:p>
          <w:p w:rsidR="001B70B4" w:rsidRPr="003C5252" w:rsidRDefault="001B70B4" w:rsidP="001237B1">
            <w:pPr>
              <w:widowControl w:val="0"/>
              <w:jc w:val="center"/>
              <w:rPr>
                <w:rFonts w:eastAsia="Times New Roman" w:cs="Calibri"/>
                <w:b/>
                <w:color w:val="FFFFFF" w:themeColor="background1"/>
                <w:kern w:val="28"/>
                <w:sz w:val="28"/>
                <w:szCs w:val="28"/>
              </w:rPr>
            </w:pPr>
            <w:r w:rsidRPr="003C5252">
              <w:rPr>
                <w:rFonts w:eastAsia="Times New Roman" w:cs="Calibri"/>
                <w:b/>
                <w:color w:val="FFFFFF" w:themeColor="background1"/>
                <w:kern w:val="28"/>
                <w:sz w:val="28"/>
                <w:szCs w:val="28"/>
              </w:rPr>
              <w:t>Substance Consumption and Consequence Indicators</w:t>
            </w:r>
          </w:p>
        </w:tc>
      </w:tr>
      <w:tr w:rsidR="001B70B4" w:rsidRPr="003C5252" w:rsidTr="001237B1">
        <w:trPr>
          <w:trHeight w:val="463"/>
          <w:jc w:val="center"/>
        </w:trPr>
        <w:tc>
          <w:tcPr>
            <w:tcW w:w="1548" w:type="dxa"/>
            <w:tcBorders>
              <w:bottom w:val="triple" w:sz="4" w:space="0" w:color="auto"/>
            </w:tcBorders>
            <w:shd w:val="clear" w:color="auto" w:fill="DBE5F1" w:themeFill="accent1" w:themeFillTint="33"/>
            <w:vAlign w:val="center"/>
          </w:tcPr>
          <w:p w:rsidR="001B70B4" w:rsidRPr="001133C0" w:rsidRDefault="001B70B4" w:rsidP="001237B1">
            <w:pPr>
              <w:widowControl w:val="0"/>
              <w:rPr>
                <w:rFonts w:eastAsia="Times New Roman" w:cs="Calibri"/>
                <w:b/>
                <w:i/>
                <w:color w:val="000000"/>
                <w:kern w:val="28"/>
                <w:sz w:val="22"/>
                <w:szCs w:val="22"/>
              </w:rPr>
            </w:pPr>
            <w:r w:rsidRPr="001133C0">
              <w:rPr>
                <w:rFonts w:eastAsia="Times New Roman" w:cs="Calibri"/>
                <w:b/>
                <w:i/>
                <w:color w:val="000000"/>
                <w:kern w:val="28"/>
                <w:sz w:val="22"/>
                <w:szCs w:val="22"/>
              </w:rPr>
              <w:t>Construct</w:t>
            </w:r>
          </w:p>
        </w:tc>
        <w:tc>
          <w:tcPr>
            <w:tcW w:w="3870" w:type="dxa"/>
            <w:tcBorders>
              <w:bottom w:val="triple" w:sz="4" w:space="0" w:color="auto"/>
            </w:tcBorders>
            <w:shd w:val="clear" w:color="auto" w:fill="DBE5F1" w:themeFill="accent1" w:themeFillTint="33"/>
            <w:vAlign w:val="center"/>
          </w:tcPr>
          <w:p w:rsidR="001B70B4" w:rsidRPr="001133C0" w:rsidRDefault="001B70B4" w:rsidP="001237B1">
            <w:pPr>
              <w:widowControl w:val="0"/>
              <w:rPr>
                <w:rFonts w:eastAsia="Times New Roman" w:cs="Calibri"/>
                <w:b/>
                <w:i/>
                <w:color w:val="000000"/>
                <w:kern w:val="28"/>
                <w:sz w:val="22"/>
                <w:szCs w:val="22"/>
              </w:rPr>
            </w:pPr>
            <w:r w:rsidRPr="001133C0">
              <w:rPr>
                <w:rFonts w:eastAsia="Times New Roman" w:cs="Calibri"/>
                <w:b/>
                <w:i/>
                <w:color w:val="000000"/>
                <w:kern w:val="28"/>
                <w:sz w:val="22"/>
                <w:szCs w:val="22"/>
              </w:rPr>
              <w:t xml:space="preserve">Alcohol </w:t>
            </w:r>
          </w:p>
        </w:tc>
        <w:tc>
          <w:tcPr>
            <w:tcW w:w="5904" w:type="dxa"/>
            <w:tcBorders>
              <w:bottom w:val="triple" w:sz="4" w:space="0" w:color="auto"/>
            </w:tcBorders>
            <w:shd w:val="clear" w:color="auto" w:fill="DBE5F1" w:themeFill="accent1" w:themeFillTint="33"/>
            <w:vAlign w:val="center"/>
          </w:tcPr>
          <w:p w:rsidR="001B70B4" w:rsidRPr="001133C0" w:rsidRDefault="001B70B4" w:rsidP="001237B1">
            <w:pPr>
              <w:widowControl w:val="0"/>
              <w:rPr>
                <w:rFonts w:eastAsia="Times New Roman" w:cs="Calibri"/>
                <w:b/>
                <w:i/>
                <w:color w:val="000000"/>
                <w:kern w:val="28"/>
                <w:sz w:val="22"/>
                <w:szCs w:val="22"/>
              </w:rPr>
            </w:pPr>
            <w:r w:rsidRPr="001133C0">
              <w:rPr>
                <w:rFonts w:eastAsia="Times New Roman" w:cs="Calibri"/>
                <w:b/>
                <w:i/>
                <w:color w:val="000000"/>
                <w:kern w:val="28"/>
                <w:sz w:val="22"/>
                <w:szCs w:val="22"/>
              </w:rPr>
              <w:t>Indicator/Measure</w:t>
            </w:r>
          </w:p>
        </w:tc>
      </w:tr>
      <w:tr w:rsidR="001B70B4" w:rsidRPr="003C5252" w:rsidTr="001237B1">
        <w:trPr>
          <w:trHeight w:val="68"/>
          <w:jc w:val="center"/>
        </w:trPr>
        <w:tc>
          <w:tcPr>
            <w:tcW w:w="1548" w:type="dxa"/>
            <w:vMerge w:val="restart"/>
            <w:tcBorders>
              <w:top w:val="triple" w:sz="4" w:space="0" w:color="auto"/>
            </w:tcBorders>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Consequence</w:t>
            </w:r>
          </w:p>
        </w:tc>
        <w:tc>
          <w:tcPr>
            <w:tcW w:w="3870" w:type="dxa"/>
            <w:tcBorders>
              <w:top w:val="triple" w:sz="4" w:space="0" w:color="auto"/>
            </w:tcBorders>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Violent Crime Rates</w:t>
            </w:r>
          </w:p>
        </w:tc>
        <w:tc>
          <w:tcPr>
            <w:tcW w:w="5904" w:type="dxa"/>
            <w:tcBorders>
              <w:top w:val="triple" w:sz="4" w:space="0" w:color="auto"/>
            </w:tcBorders>
            <w:vAlign w:val="center"/>
          </w:tcPr>
          <w:p w:rsidR="001B70B4" w:rsidRPr="001133C0" w:rsidRDefault="001B70B4" w:rsidP="00D13E56">
            <w:pPr>
              <w:widowControl w:val="0"/>
              <w:rPr>
                <w:rFonts w:eastAsia="Times New Roman" w:cs="Calibri"/>
                <w:color w:val="000000"/>
                <w:kern w:val="28"/>
                <w:sz w:val="22"/>
                <w:szCs w:val="22"/>
              </w:rPr>
            </w:pPr>
            <w:r w:rsidRPr="001133C0">
              <w:rPr>
                <w:rFonts w:eastAsia="Times New Roman" w:cs="Calibri"/>
                <w:color w:val="000000"/>
                <w:kern w:val="28"/>
                <w:sz w:val="22"/>
                <w:szCs w:val="22"/>
              </w:rPr>
              <w:t xml:space="preserve">Violent crime counts </w:t>
            </w:r>
            <w:r w:rsidR="00D13E56">
              <w:rPr>
                <w:rFonts w:eastAsia="Times New Roman" w:cs="Calibri"/>
                <w:color w:val="000000"/>
                <w:kern w:val="28"/>
                <w:sz w:val="22"/>
                <w:szCs w:val="22"/>
              </w:rPr>
              <w:t xml:space="preserve">were </w:t>
            </w:r>
            <w:r w:rsidRPr="001133C0">
              <w:rPr>
                <w:rFonts w:eastAsia="Times New Roman" w:cs="Calibri"/>
                <w:color w:val="000000"/>
                <w:kern w:val="28"/>
                <w:sz w:val="22"/>
                <w:szCs w:val="22"/>
              </w:rPr>
              <w:t xml:space="preserve">reported by </w:t>
            </w:r>
            <w:r w:rsidR="00D13E56">
              <w:rPr>
                <w:rFonts w:eastAsia="Times New Roman" w:cs="Calibri"/>
                <w:color w:val="000000"/>
                <w:kern w:val="28"/>
                <w:sz w:val="22"/>
                <w:szCs w:val="22"/>
              </w:rPr>
              <w:t xml:space="preserve">Uniform Crime Reports for the </w:t>
            </w:r>
            <w:r w:rsidRPr="001133C0">
              <w:rPr>
                <w:rFonts w:eastAsia="Times New Roman" w:cs="Calibri"/>
                <w:color w:val="000000"/>
                <w:kern w:val="28"/>
                <w:sz w:val="22"/>
                <w:szCs w:val="22"/>
              </w:rPr>
              <w:t>years</w:t>
            </w:r>
            <w:r w:rsidR="00D13E56">
              <w:rPr>
                <w:rFonts w:eastAsia="Times New Roman" w:cs="Calibri"/>
                <w:color w:val="000000"/>
                <w:kern w:val="28"/>
                <w:sz w:val="22"/>
                <w:szCs w:val="22"/>
              </w:rPr>
              <w:t xml:space="preserve"> 2015-2016</w:t>
            </w:r>
            <w:r w:rsidRPr="001133C0">
              <w:rPr>
                <w:rFonts w:eastAsia="Times New Roman" w:cs="Calibri"/>
                <w:color w:val="000000"/>
                <w:kern w:val="28"/>
                <w:sz w:val="22"/>
                <w:szCs w:val="22"/>
              </w:rPr>
              <w:t>.  Combined ra</w:t>
            </w:r>
            <w:r w:rsidR="00D13E56">
              <w:rPr>
                <w:rFonts w:eastAsia="Times New Roman" w:cs="Calibri"/>
                <w:color w:val="000000"/>
                <w:kern w:val="28"/>
                <w:sz w:val="22"/>
                <w:szCs w:val="22"/>
              </w:rPr>
              <w:t>te calculated for the years 2015-2016</w:t>
            </w:r>
            <w:r w:rsidRPr="001133C0">
              <w:rPr>
                <w:rFonts w:eastAsia="Times New Roman" w:cs="Calibri"/>
                <w:color w:val="000000"/>
                <w:kern w:val="28"/>
                <w:sz w:val="22"/>
                <w:szCs w:val="22"/>
              </w:rPr>
              <w:t xml:space="preserve">. </w:t>
            </w:r>
          </w:p>
        </w:tc>
      </w:tr>
      <w:tr w:rsidR="001B70B4" w:rsidRPr="003C5252" w:rsidTr="001237B1">
        <w:trPr>
          <w:trHeight w:val="68"/>
          <w:jc w:val="center"/>
        </w:trPr>
        <w:tc>
          <w:tcPr>
            <w:tcW w:w="1548" w:type="dxa"/>
            <w:vMerge/>
            <w:vAlign w:val="center"/>
          </w:tcPr>
          <w:p w:rsidR="001B70B4" w:rsidRPr="001133C0" w:rsidRDefault="001B70B4" w:rsidP="001237B1">
            <w:pPr>
              <w:widowControl w:val="0"/>
              <w:rPr>
                <w:rFonts w:eastAsia="Times New Roman" w:cs="Calibri"/>
                <w:color w:val="000000"/>
                <w:kern w:val="28"/>
                <w:sz w:val="22"/>
                <w:szCs w:val="22"/>
              </w:rPr>
            </w:pPr>
          </w:p>
        </w:tc>
        <w:tc>
          <w:tcPr>
            <w:tcW w:w="3870" w:type="dxa"/>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Alcohol Related Juvenile Arrest Rate</w:t>
            </w:r>
          </w:p>
        </w:tc>
        <w:tc>
          <w:tcPr>
            <w:tcW w:w="5904" w:type="dxa"/>
            <w:vAlign w:val="center"/>
          </w:tcPr>
          <w:p w:rsidR="001B70B4" w:rsidRPr="001133C0" w:rsidRDefault="00D13E56" w:rsidP="006731AC">
            <w:pPr>
              <w:widowControl w:val="0"/>
              <w:rPr>
                <w:rFonts w:eastAsia="Times New Roman" w:cs="Calibri"/>
                <w:color w:val="000000"/>
                <w:kern w:val="28"/>
                <w:sz w:val="22"/>
                <w:szCs w:val="22"/>
              </w:rPr>
            </w:pPr>
            <w:r w:rsidRPr="001133C0">
              <w:rPr>
                <w:rFonts w:eastAsia="Times New Roman" w:cs="Calibri"/>
                <w:color w:val="000000"/>
                <w:kern w:val="28"/>
                <w:sz w:val="22"/>
                <w:szCs w:val="22"/>
              </w:rPr>
              <w:t>Oklahoma State Bureau of Investigation alcohol rela</w:t>
            </w:r>
            <w:r>
              <w:rPr>
                <w:rFonts w:eastAsia="Times New Roman" w:cs="Calibri"/>
                <w:color w:val="000000"/>
                <w:kern w:val="28"/>
                <w:sz w:val="22"/>
                <w:szCs w:val="22"/>
              </w:rPr>
              <w:t xml:space="preserve">ted </w:t>
            </w:r>
            <w:r w:rsidR="006731AC">
              <w:rPr>
                <w:rFonts w:eastAsia="Times New Roman" w:cs="Calibri"/>
                <w:color w:val="000000"/>
                <w:kern w:val="28"/>
                <w:sz w:val="22"/>
                <w:szCs w:val="22"/>
              </w:rPr>
              <w:t xml:space="preserve">juvenile </w:t>
            </w:r>
            <w:r>
              <w:rPr>
                <w:rFonts w:eastAsia="Times New Roman" w:cs="Calibri"/>
                <w:color w:val="000000"/>
                <w:kern w:val="28"/>
                <w:sz w:val="22"/>
                <w:szCs w:val="22"/>
              </w:rPr>
              <w:t>arrest counts for 2015</w:t>
            </w:r>
            <w:r w:rsidR="00B73450">
              <w:rPr>
                <w:rFonts w:eastAsia="Times New Roman" w:cs="Calibri"/>
                <w:color w:val="000000"/>
                <w:kern w:val="28"/>
                <w:sz w:val="22"/>
                <w:szCs w:val="22"/>
              </w:rPr>
              <w:t xml:space="preserve"> or 2016</w:t>
            </w:r>
            <w:r w:rsidR="001B70B4" w:rsidRPr="001133C0">
              <w:rPr>
                <w:rFonts w:eastAsia="Times New Roman" w:cs="Calibri"/>
                <w:color w:val="000000"/>
                <w:kern w:val="28"/>
                <w:sz w:val="22"/>
                <w:szCs w:val="22"/>
              </w:rPr>
              <w:t>.</w:t>
            </w:r>
            <w:r w:rsidR="00B73450">
              <w:rPr>
                <w:rFonts w:eastAsia="Times New Roman" w:cs="Calibri"/>
                <w:color w:val="000000"/>
                <w:kern w:val="28"/>
                <w:sz w:val="22"/>
                <w:szCs w:val="22"/>
              </w:rPr>
              <w:t xml:space="preserve">  Rates were calculated for 2015 or 2016</w:t>
            </w:r>
            <w:r w:rsidR="001B70B4" w:rsidRPr="001133C0">
              <w:rPr>
                <w:rFonts w:eastAsia="Times New Roman" w:cs="Calibri"/>
                <w:color w:val="000000"/>
                <w:kern w:val="28"/>
                <w:sz w:val="22"/>
                <w:szCs w:val="22"/>
              </w:rPr>
              <w:t>.</w:t>
            </w:r>
          </w:p>
        </w:tc>
      </w:tr>
      <w:tr w:rsidR="001B70B4" w:rsidRPr="003C5252" w:rsidTr="001237B1">
        <w:trPr>
          <w:trHeight w:val="68"/>
          <w:jc w:val="center"/>
        </w:trPr>
        <w:tc>
          <w:tcPr>
            <w:tcW w:w="1548" w:type="dxa"/>
            <w:vMerge/>
            <w:vAlign w:val="center"/>
          </w:tcPr>
          <w:p w:rsidR="001B70B4" w:rsidRPr="001133C0" w:rsidRDefault="001B70B4" w:rsidP="001237B1">
            <w:pPr>
              <w:widowControl w:val="0"/>
              <w:rPr>
                <w:rFonts w:eastAsia="Times New Roman" w:cs="Calibri"/>
                <w:color w:val="000000"/>
                <w:kern w:val="28"/>
                <w:sz w:val="22"/>
                <w:szCs w:val="22"/>
              </w:rPr>
            </w:pPr>
          </w:p>
        </w:tc>
        <w:tc>
          <w:tcPr>
            <w:tcW w:w="3870" w:type="dxa"/>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Alcohol Related Adult Arrest Rate</w:t>
            </w:r>
          </w:p>
        </w:tc>
        <w:tc>
          <w:tcPr>
            <w:tcW w:w="5904" w:type="dxa"/>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Oklahoma State Bureau of Investigation alcohol rela</w:t>
            </w:r>
            <w:r w:rsidR="00B73450">
              <w:rPr>
                <w:rFonts w:eastAsia="Times New Roman" w:cs="Calibri"/>
                <w:color w:val="000000"/>
                <w:kern w:val="28"/>
                <w:sz w:val="22"/>
                <w:szCs w:val="22"/>
              </w:rPr>
              <w:t>ted adult arrest counts for 2015 or 2016</w:t>
            </w:r>
            <w:r w:rsidRPr="001133C0">
              <w:rPr>
                <w:rFonts w:eastAsia="Times New Roman" w:cs="Calibri"/>
                <w:color w:val="000000"/>
                <w:kern w:val="28"/>
                <w:sz w:val="22"/>
                <w:szCs w:val="22"/>
              </w:rPr>
              <w:t>.</w:t>
            </w:r>
            <w:r w:rsidR="00B73450">
              <w:rPr>
                <w:rFonts w:eastAsia="Times New Roman" w:cs="Calibri"/>
                <w:color w:val="000000"/>
                <w:kern w:val="28"/>
                <w:sz w:val="22"/>
                <w:szCs w:val="22"/>
              </w:rPr>
              <w:t xml:space="preserve">  Rates were calculated for 2015 or 2016</w:t>
            </w:r>
            <w:r w:rsidRPr="001133C0">
              <w:rPr>
                <w:rFonts w:eastAsia="Times New Roman" w:cs="Calibri"/>
                <w:color w:val="000000"/>
                <w:kern w:val="28"/>
                <w:sz w:val="22"/>
                <w:szCs w:val="22"/>
              </w:rPr>
              <w:t xml:space="preserve">.  </w:t>
            </w:r>
          </w:p>
        </w:tc>
      </w:tr>
      <w:tr w:rsidR="001B70B4" w:rsidRPr="003C5252" w:rsidTr="001237B1">
        <w:trPr>
          <w:trHeight w:val="68"/>
          <w:jc w:val="center"/>
        </w:trPr>
        <w:tc>
          <w:tcPr>
            <w:tcW w:w="1548" w:type="dxa"/>
            <w:vMerge/>
            <w:vAlign w:val="center"/>
          </w:tcPr>
          <w:p w:rsidR="001B70B4" w:rsidRPr="001133C0" w:rsidRDefault="001B70B4" w:rsidP="001237B1">
            <w:pPr>
              <w:widowControl w:val="0"/>
              <w:rPr>
                <w:rFonts w:eastAsia="Times New Roman" w:cs="Calibri"/>
                <w:color w:val="000000"/>
                <w:kern w:val="28"/>
                <w:sz w:val="22"/>
                <w:szCs w:val="22"/>
              </w:rPr>
            </w:pPr>
          </w:p>
        </w:tc>
        <w:tc>
          <w:tcPr>
            <w:tcW w:w="3870" w:type="dxa"/>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Alcohol Related Car Crash Fatality Percentages</w:t>
            </w:r>
          </w:p>
        </w:tc>
        <w:tc>
          <w:tcPr>
            <w:tcW w:w="5904" w:type="dxa"/>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Fatality Analysis Reporting System (FARS) number of crashes resulting in a fatality where alcohol is involved.  Combined percentages were ca</w:t>
            </w:r>
            <w:r w:rsidR="00B73450">
              <w:rPr>
                <w:rFonts w:eastAsia="Times New Roman" w:cs="Calibri"/>
                <w:color w:val="000000"/>
                <w:kern w:val="28"/>
                <w:sz w:val="22"/>
                <w:szCs w:val="22"/>
              </w:rPr>
              <w:t>lculated for the years 2015-2016</w:t>
            </w:r>
            <w:r w:rsidRPr="001133C0">
              <w:rPr>
                <w:rFonts w:eastAsia="Times New Roman" w:cs="Calibri"/>
                <w:color w:val="000000"/>
                <w:kern w:val="28"/>
                <w:sz w:val="22"/>
                <w:szCs w:val="22"/>
              </w:rPr>
              <w:t>.</w:t>
            </w:r>
          </w:p>
        </w:tc>
      </w:tr>
      <w:tr w:rsidR="001B70B4" w:rsidRPr="003C5252" w:rsidTr="001237B1">
        <w:trPr>
          <w:trHeight w:val="68"/>
          <w:jc w:val="center"/>
        </w:trPr>
        <w:tc>
          <w:tcPr>
            <w:tcW w:w="1548" w:type="dxa"/>
            <w:vMerge/>
            <w:vAlign w:val="center"/>
          </w:tcPr>
          <w:p w:rsidR="001B70B4" w:rsidRPr="001133C0" w:rsidRDefault="001B70B4" w:rsidP="001237B1">
            <w:pPr>
              <w:widowControl w:val="0"/>
              <w:rPr>
                <w:rFonts w:eastAsia="Times New Roman" w:cs="Calibri"/>
                <w:color w:val="000000"/>
                <w:kern w:val="28"/>
                <w:sz w:val="22"/>
                <w:szCs w:val="22"/>
              </w:rPr>
            </w:pPr>
          </w:p>
        </w:tc>
        <w:tc>
          <w:tcPr>
            <w:tcW w:w="3870" w:type="dxa"/>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Chronic Liver Disease Mortality Rate</w:t>
            </w:r>
          </w:p>
        </w:tc>
        <w:tc>
          <w:tcPr>
            <w:tcW w:w="5904" w:type="dxa"/>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 xml:space="preserve">National Vital Statistics System (NVSS) chronic liver disease death rates were calculated for the years 2004-2013. (ICD Codes*:  K70, K73, K74). </w:t>
            </w:r>
          </w:p>
        </w:tc>
      </w:tr>
      <w:tr w:rsidR="001B70B4" w:rsidRPr="003C5252" w:rsidTr="001237B1">
        <w:trPr>
          <w:trHeight w:val="68"/>
          <w:jc w:val="center"/>
        </w:trPr>
        <w:tc>
          <w:tcPr>
            <w:tcW w:w="1548" w:type="dxa"/>
            <w:vMerge/>
            <w:vAlign w:val="center"/>
          </w:tcPr>
          <w:p w:rsidR="001B70B4" w:rsidRPr="001133C0" w:rsidRDefault="001B70B4" w:rsidP="001237B1">
            <w:pPr>
              <w:widowControl w:val="0"/>
              <w:rPr>
                <w:rFonts w:eastAsia="Times New Roman" w:cs="Calibri"/>
                <w:color w:val="000000"/>
                <w:kern w:val="28"/>
                <w:sz w:val="22"/>
                <w:szCs w:val="22"/>
              </w:rPr>
            </w:pPr>
          </w:p>
        </w:tc>
        <w:tc>
          <w:tcPr>
            <w:tcW w:w="3870" w:type="dxa"/>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Suicide Rate</w:t>
            </w:r>
          </w:p>
        </w:tc>
        <w:tc>
          <w:tcPr>
            <w:tcW w:w="5904" w:type="dxa"/>
            <w:vAlign w:val="center"/>
          </w:tcPr>
          <w:p w:rsidR="001B70B4" w:rsidRPr="001133C0" w:rsidRDefault="007A0579" w:rsidP="001237B1">
            <w:pPr>
              <w:widowControl w:val="0"/>
              <w:rPr>
                <w:rFonts w:eastAsia="Times New Roman" w:cs="Calibri"/>
                <w:color w:val="000000"/>
                <w:kern w:val="28"/>
                <w:sz w:val="22"/>
                <w:szCs w:val="22"/>
              </w:rPr>
            </w:pPr>
            <w:r>
              <w:rPr>
                <w:rFonts w:eastAsia="Times New Roman" w:cs="Calibri"/>
                <w:color w:val="000000"/>
                <w:kern w:val="28"/>
                <w:sz w:val="22"/>
                <w:szCs w:val="22"/>
              </w:rPr>
              <w:t>Oklahoma State Department of Health. State of the State’s Health Report</w:t>
            </w:r>
            <w:r w:rsidR="001B70B4" w:rsidRPr="001133C0">
              <w:rPr>
                <w:rFonts w:eastAsia="Times New Roman" w:cs="Calibri"/>
                <w:color w:val="000000"/>
                <w:kern w:val="28"/>
                <w:sz w:val="22"/>
                <w:szCs w:val="22"/>
              </w:rPr>
              <w:t>.</w:t>
            </w:r>
            <w:r>
              <w:rPr>
                <w:rFonts w:eastAsia="Times New Roman" w:cs="Calibri"/>
                <w:color w:val="000000"/>
                <w:kern w:val="28"/>
                <w:sz w:val="22"/>
                <w:szCs w:val="22"/>
              </w:rPr>
              <w:t xml:space="preserve"> Percentag</w:t>
            </w:r>
            <w:r w:rsidR="00D13E56">
              <w:rPr>
                <w:rFonts w:eastAsia="Times New Roman" w:cs="Calibri"/>
                <w:color w:val="000000"/>
                <w:kern w:val="28"/>
                <w:sz w:val="22"/>
                <w:szCs w:val="22"/>
              </w:rPr>
              <w:t xml:space="preserve">es were calculated for 2015 and </w:t>
            </w:r>
            <w:r>
              <w:rPr>
                <w:rFonts w:eastAsia="Times New Roman" w:cs="Calibri"/>
                <w:color w:val="000000"/>
                <w:kern w:val="28"/>
                <w:sz w:val="22"/>
                <w:szCs w:val="22"/>
              </w:rPr>
              <w:t>2016.</w:t>
            </w:r>
            <w:r w:rsidR="001B70B4" w:rsidRPr="001133C0">
              <w:rPr>
                <w:rFonts w:eastAsia="Times New Roman" w:cs="Calibri"/>
                <w:color w:val="000000"/>
                <w:kern w:val="28"/>
                <w:sz w:val="22"/>
                <w:szCs w:val="22"/>
              </w:rPr>
              <w:t xml:space="preserve"> </w:t>
            </w:r>
          </w:p>
        </w:tc>
      </w:tr>
      <w:tr w:rsidR="001B70B4" w:rsidRPr="003C5252" w:rsidTr="001237B1">
        <w:trPr>
          <w:trHeight w:val="611"/>
          <w:jc w:val="center"/>
        </w:trPr>
        <w:tc>
          <w:tcPr>
            <w:tcW w:w="1548" w:type="dxa"/>
            <w:vMerge/>
            <w:vAlign w:val="center"/>
          </w:tcPr>
          <w:p w:rsidR="001B70B4" w:rsidRPr="001133C0" w:rsidRDefault="001B70B4" w:rsidP="001237B1">
            <w:pPr>
              <w:widowControl w:val="0"/>
              <w:rPr>
                <w:rFonts w:eastAsia="Times New Roman" w:cs="Calibri"/>
                <w:color w:val="000000"/>
                <w:kern w:val="28"/>
                <w:sz w:val="22"/>
                <w:szCs w:val="22"/>
              </w:rPr>
            </w:pPr>
          </w:p>
        </w:tc>
        <w:tc>
          <w:tcPr>
            <w:tcW w:w="3870" w:type="dxa"/>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Alcohol Treatment Admission Rate</w:t>
            </w:r>
          </w:p>
        </w:tc>
        <w:tc>
          <w:tcPr>
            <w:tcW w:w="5904" w:type="dxa"/>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ODMHSAS funded facility alcohol stated as drug of choice, treatment admission counts.  Combined rates were ca</w:t>
            </w:r>
            <w:r w:rsidR="00B73450">
              <w:rPr>
                <w:rFonts w:eastAsia="Times New Roman" w:cs="Calibri"/>
                <w:color w:val="000000"/>
                <w:kern w:val="28"/>
                <w:sz w:val="22"/>
                <w:szCs w:val="22"/>
              </w:rPr>
              <w:t>lculated for the years 2015-2016</w:t>
            </w:r>
            <w:r w:rsidRPr="001133C0">
              <w:rPr>
                <w:rFonts w:eastAsia="Times New Roman" w:cs="Calibri"/>
                <w:color w:val="000000"/>
                <w:kern w:val="28"/>
                <w:sz w:val="22"/>
                <w:szCs w:val="22"/>
              </w:rPr>
              <w:t>.</w:t>
            </w:r>
          </w:p>
        </w:tc>
      </w:tr>
      <w:tr w:rsidR="001B70B4" w:rsidRPr="003C5252" w:rsidTr="001237B1">
        <w:trPr>
          <w:trHeight w:val="881"/>
          <w:jc w:val="center"/>
        </w:trPr>
        <w:tc>
          <w:tcPr>
            <w:tcW w:w="1548" w:type="dxa"/>
            <w:vMerge/>
            <w:tcBorders>
              <w:bottom w:val="triple" w:sz="4" w:space="0" w:color="auto"/>
            </w:tcBorders>
            <w:vAlign w:val="center"/>
          </w:tcPr>
          <w:p w:rsidR="001B70B4" w:rsidRPr="001133C0" w:rsidRDefault="001B70B4" w:rsidP="001237B1">
            <w:pPr>
              <w:widowControl w:val="0"/>
              <w:rPr>
                <w:rFonts w:eastAsia="Times New Roman" w:cs="Calibri"/>
                <w:color w:val="000000"/>
                <w:kern w:val="28"/>
                <w:sz w:val="22"/>
                <w:szCs w:val="22"/>
              </w:rPr>
            </w:pPr>
          </w:p>
        </w:tc>
        <w:tc>
          <w:tcPr>
            <w:tcW w:w="3870" w:type="dxa"/>
            <w:tcBorders>
              <w:bottom w:val="triple" w:sz="4" w:space="0" w:color="auto"/>
            </w:tcBorders>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Alcohol Related Birth Rate</w:t>
            </w:r>
          </w:p>
        </w:tc>
        <w:tc>
          <w:tcPr>
            <w:tcW w:w="5904" w:type="dxa"/>
            <w:tcBorders>
              <w:bottom w:val="triple" w:sz="4" w:space="0" w:color="auto"/>
            </w:tcBorders>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Alcohol related birth rates were calculated by the number of women age 18-44 reporting alcohol use during pregnancy on the birth certificate for the years 2003-2008.</w:t>
            </w:r>
          </w:p>
        </w:tc>
      </w:tr>
      <w:tr w:rsidR="001B70B4" w:rsidRPr="003C5252" w:rsidTr="001237B1">
        <w:trPr>
          <w:trHeight w:val="269"/>
          <w:jc w:val="center"/>
        </w:trPr>
        <w:tc>
          <w:tcPr>
            <w:tcW w:w="1548" w:type="dxa"/>
            <w:tcBorders>
              <w:top w:val="triple" w:sz="4" w:space="0" w:color="auto"/>
              <w:bottom w:val="triple" w:sz="4" w:space="0" w:color="auto"/>
            </w:tcBorders>
            <w:shd w:val="clear" w:color="auto" w:fill="DBE5F1" w:themeFill="accent1" w:themeFillTint="33"/>
            <w:vAlign w:val="center"/>
          </w:tcPr>
          <w:p w:rsidR="001B70B4" w:rsidRPr="001133C0" w:rsidRDefault="001B70B4" w:rsidP="001237B1">
            <w:pPr>
              <w:widowControl w:val="0"/>
              <w:rPr>
                <w:rFonts w:eastAsia="Times New Roman" w:cs="Calibri"/>
                <w:b/>
                <w:i/>
                <w:color w:val="000000"/>
                <w:kern w:val="28"/>
                <w:sz w:val="22"/>
                <w:szCs w:val="22"/>
              </w:rPr>
            </w:pPr>
            <w:r w:rsidRPr="001133C0">
              <w:rPr>
                <w:rFonts w:eastAsia="Times New Roman" w:cs="Calibri"/>
                <w:b/>
                <w:i/>
                <w:color w:val="000000"/>
                <w:kern w:val="28"/>
                <w:sz w:val="22"/>
                <w:szCs w:val="22"/>
              </w:rPr>
              <w:t>Construct</w:t>
            </w:r>
          </w:p>
        </w:tc>
        <w:tc>
          <w:tcPr>
            <w:tcW w:w="3870" w:type="dxa"/>
            <w:tcBorders>
              <w:top w:val="triple" w:sz="4" w:space="0" w:color="auto"/>
              <w:bottom w:val="triple" w:sz="4" w:space="0" w:color="auto"/>
            </w:tcBorders>
            <w:shd w:val="clear" w:color="auto" w:fill="DBE5F1" w:themeFill="accent1" w:themeFillTint="33"/>
            <w:vAlign w:val="center"/>
          </w:tcPr>
          <w:p w:rsidR="001B70B4" w:rsidRPr="001133C0" w:rsidRDefault="001B70B4" w:rsidP="001237B1">
            <w:pPr>
              <w:widowControl w:val="0"/>
              <w:rPr>
                <w:rFonts w:eastAsia="Times New Roman" w:cs="Calibri"/>
                <w:b/>
                <w:i/>
                <w:color w:val="000000"/>
                <w:kern w:val="28"/>
                <w:sz w:val="22"/>
                <w:szCs w:val="22"/>
              </w:rPr>
            </w:pPr>
            <w:r w:rsidRPr="001133C0">
              <w:rPr>
                <w:rFonts w:eastAsia="Times New Roman" w:cs="Calibri"/>
                <w:b/>
                <w:i/>
                <w:color w:val="000000"/>
                <w:kern w:val="28"/>
                <w:sz w:val="22"/>
                <w:szCs w:val="22"/>
              </w:rPr>
              <w:t xml:space="preserve">Alcohol </w:t>
            </w:r>
          </w:p>
        </w:tc>
        <w:tc>
          <w:tcPr>
            <w:tcW w:w="5904" w:type="dxa"/>
            <w:tcBorders>
              <w:top w:val="triple" w:sz="4" w:space="0" w:color="auto"/>
              <w:bottom w:val="triple" w:sz="4" w:space="0" w:color="auto"/>
            </w:tcBorders>
            <w:shd w:val="clear" w:color="auto" w:fill="DBE5F1" w:themeFill="accent1" w:themeFillTint="33"/>
            <w:vAlign w:val="center"/>
          </w:tcPr>
          <w:p w:rsidR="001B70B4" w:rsidRPr="001133C0" w:rsidRDefault="001B70B4" w:rsidP="001237B1">
            <w:pPr>
              <w:widowControl w:val="0"/>
              <w:rPr>
                <w:rFonts w:eastAsia="Times New Roman" w:cs="Calibri"/>
                <w:b/>
                <w:i/>
                <w:color w:val="000000"/>
                <w:kern w:val="28"/>
                <w:sz w:val="22"/>
                <w:szCs w:val="22"/>
              </w:rPr>
            </w:pPr>
            <w:r w:rsidRPr="001133C0">
              <w:rPr>
                <w:rFonts w:eastAsia="Times New Roman" w:cs="Calibri"/>
                <w:b/>
                <w:i/>
                <w:color w:val="000000"/>
                <w:kern w:val="28"/>
                <w:sz w:val="22"/>
                <w:szCs w:val="22"/>
              </w:rPr>
              <w:t>Indicator/Measure</w:t>
            </w:r>
          </w:p>
        </w:tc>
      </w:tr>
      <w:tr w:rsidR="001B70B4" w:rsidRPr="003C5252" w:rsidTr="001237B1">
        <w:trPr>
          <w:trHeight w:val="881"/>
          <w:jc w:val="center"/>
        </w:trPr>
        <w:tc>
          <w:tcPr>
            <w:tcW w:w="1548" w:type="dxa"/>
            <w:vMerge w:val="restart"/>
            <w:tcBorders>
              <w:top w:val="triple" w:sz="4" w:space="0" w:color="auto"/>
            </w:tcBorders>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Consumption</w:t>
            </w:r>
          </w:p>
        </w:tc>
        <w:tc>
          <w:tcPr>
            <w:tcW w:w="3870" w:type="dxa"/>
            <w:tcBorders>
              <w:top w:val="triple" w:sz="4" w:space="0" w:color="auto"/>
            </w:tcBorders>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Youth 30 Day Use</w:t>
            </w:r>
          </w:p>
        </w:tc>
        <w:tc>
          <w:tcPr>
            <w:tcW w:w="5904" w:type="dxa"/>
            <w:tcBorders>
              <w:top w:val="triple" w:sz="4" w:space="0" w:color="auto"/>
            </w:tcBorders>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Percentage of youth that took the OPNA survey reporting using alcohol in the</w:t>
            </w:r>
            <w:r w:rsidR="00B73450">
              <w:rPr>
                <w:rFonts w:eastAsia="Times New Roman" w:cs="Calibri"/>
                <w:color w:val="000000"/>
                <w:kern w:val="28"/>
                <w:sz w:val="22"/>
                <w:szCs w:val="22"/>
              </w:rPr>
              <w:t xml:space="preserve"> past 30 days for </w:t>
            </w:r>
            <w:r w:rsidR="00E251B9">
              <w:rPr>
                <w:rFonts w:eastAsia="Times New Roman" w:cs="Calibri"/>
                <w:color w:val="000000"/>
                <w:kern w:val="28"/>
                <w:sz w:val="22"/>
                <w:szCs w:val="22"/>
              </w:rPr>
              <w:t xml:space="preserve">the </w:t>
            </w:r>
            <w:r w:rsidR="00B73450">
              <w:rPr>
                <w:rFonts w:eastAsia="Times New Roman" w:cs="Calibri"/>
                <w:color w:val="000000"/>
                <w:kern w:val="28"/>
                <w:sz w:val="22"/>
                <w:szCs w:val="22"/>
              </w:rPr>
              <w:t xml:space="preserve">years 2010, </w:t>
            </w:r>
            <w:r w:rsidRPr="001133C0">
              <w:rPr>
                <w:rFonts w:eastAsia="Times New Roman" w:cs="Calibri"/>
                <w:color w:val="000000"/>
                <w:kern w:val="28"/>
                <w:sz w:val="22"/>
                <w:szCs w:val="22"/>
              </w:rPr>
              <w:t>2014</w:t>
            </w:r>
            <w:r w:rsidR="00B73450">
              <w:rPr>
                <w:rFonts w:eastAsia="Times New Roman" w:cs="Calibri"/>
                <w:color w:val="000000"/>
                <w:kern w:val="28"/>
                <w:sz w:val="22"/>
                <w:szCs w:val="22"/>
              </w:rPr>
              <w:t xml:space="preserve"> and 2016.</w:t>
            </w:r>
            <w:r w:rsidRPr="001133C0">
              <w:rPr>
                <w:rFonts w:eastAsia="Times New Roman" w:cs="Calibri"/>
                <w:color w:val="000000"/>
                <w:kern w:val="28"/>
                <w:sz w:val="22"/>
                <w:szCs w:val="22"/>
              </w:rPr>
              <w:t xml:space="preserve">  </w:t>
            </w:r>
          </w:p>
        </w:tc>
      </w:tr>
      <w:tr w:rsidR="001B70B4" w:rsidRPr="003C5252" w:rsidTr="001237B1">
        <w:trPr>
          <w:trHeight w:val="881"/>
          <w:jc w:val="center"/>
        </w:trPr>
        <w:tc>
          <w:tcPr>
            <w:tcW w:w="1548" w:type="dxa"/>
            <w:vMerge/>
            <w:vAlign w:val="center"/>
          </w:tcPr>
          <w:p w:rsidR="001B70B4" w:rsidRPr="001133C0" w:rsidRDefault="001B70B4" w:rsidP="001237B1">
            <w:pPr>
              <w:widowControl w:val="0"/>
              <w:rPr>
                <w:rFonts w:eastAsia="Times New Roman" w:cs="Calibri"/>
                <w:color w:val="000000"/>
                <w:kern w:val="28"/>
                <w:sz w:val="22"/>
                <w:szCs w:val="22"/>
              </w:rPr>
            </w:pPr>
          </w:p>
        </w:tc>
        <w:tc>
          <w:tcPr>
            <w:tcW w:w="3870" w:type="dxa"/>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Youth Binge Drinking</w:t>
            </w:r>
          </w:p>
        </w:tc>
        <w:tc>
          <w:tcPr>
            <w:tcW w:w="5904" w:type="dxa"/>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Percentage of youth that took the OPNA survey reporting binge drinking (5+ drinks on o</w:t>
            </w:r>
            <w:r w:rsidR="00B73450">
              <w:rPr>
                <w:rFonts w:eastAsia="Times New Roman" w:cs="Calibri"/>
                <w:color w:val="000000"/>
                <w:kern w:val="28"/>
                <w:sz w:val="22"/>
                <w:szCs w:val="22"/>
              </w:rPr>
              <w:t xml:space="preserve">ne occasion) for </w:t>
            </w:r>
            <w:r w:rsidR="00E251B9">
              <w:rPr>
                <w:rFonts w:eastAsia="Times New Roman" w:cs="Calibri"/>
                <w:color w:val="000000"/>
                <w:kern w:val="28"/>
                <w:sz w:val="22"/>
                <w:szCs w:val="22"/>
              </w:rPr>
              <w:t xml:space="preserve">the </w:t>
            </w:r>
            <w:r w:rsidR="00B73450">
              <w:rPr>
                <w:rFonts w:eastAsia="Times New Roman" w:cs="Calibri"/>
                <w:color w:val="000000"/>
                <w:kern w:val="28"/>
                <w:sz w:val="22"/>
                <w:szCs w:val="22"/>
              </w:rPr>
              <w:t xml:space="preserve">years 2010, </w:t>
            </w:r>
            <w:r w:rsidRPr="001133C0">
              <w:rPr>
                <w:rFonts w:eastAsia="Times New Roman" w:cs="Calibri"/>
                <w:color w:val="000000"/>
                <w:kern w:val="28"/>
                <w:sz w:val="22"/>
                <w:szCs w:val="22"/>
              </w:rPr>
              <w:t>2014</w:t>
            </w:r>
            <w:r w:rsidR="00B73450">
              <w:rPr>
                <w:rFonts w:eastAsia="Times New Roman" w:cs="Calibri"/>
                <w:color w:val="000000"/>
                <w:kern w:val="28"/>
                <w:sz w:val="22"/>
                <w:szCs w:val="22"/>
              </w:rPr>
              <w:t xml:space="preserve"> and 2016.</w:t>
            </w:r>
          </w:p>
        </w:tc>
      </w:tr>
      <w:tr w:rsidR="001B70B4" w:rsidRPr="003C5252" w:rsidTr="001237B1">
        <w:trPr>
          <w:trHeight w:val="881"/>
          <w:jc w:val="center"/>
        </w:trPr>
        <w:tc>
          <w:tcPr>
            <w:tcW w:w="1548" w:type="dxa"/>
            <w:vMerge/>
            <w:vAlign w:val="center"/>
          </w:tcPr>
          <w:p w:rsidR="001B70B4" w:rsidRPr="001133C0" w:rsidRDefault="001B70B4" w:rsidP="001237B1">
            <w:pPr>
              <w:widowControl w:val="0"/>
              <w:rPr>
                <w:rFonts w:eastAsia="Times New Roman" w:cs="Calibri"/>
                <w:color w:val="000000"/>
                <w:kern w:val="28"/>
                <w:sz w:val="22"/>
                <w:szCs w:val="22"/>
              </w:rPr>
            </w:pPr>
          </w:p>
        </w:tc>
        <w:tc>
          <w:tcPr>
            <w:tcW w:w="3870" w:type="dxa"/>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Youth drinking and Driving</w:t>
            </w:r>
          </w:p>
        </w:tc>
        <w:tc>
          <w:tcPr>
            <w:tcW w:w="5904" w:type="dxa"/>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Percentage of youth that took the OPNA survey reported drinking and driving in the past</w:t>
            </w:r>
            <w:r w:rsidR="00B73450">
              <w:rPr>
                <w:rFonts w:eastAsia="Times New Roman" w:cs="Calibri"/>
                <w:color w:val="000000"/>
                <w:kern w:val="28"/>
                <w:sz w:val="22"/>
                <w:szCs w:val="22"/>
              </w:rPr>
              <w:t xml:space="preserve"> 30 days for the years 2010, </w:t>
            </w:r>
            <w:r w:rsidRPr="001133C0">
              <w:rPr>
                <w:rFonts w:eastAsia="Times New Roman" w:cs="Calibri"/>
                <w:color w:val="000000"/>
                <w:kern w:val="28"/>
                <w:sz w:val="22"/>
                <w:szCs w:val="22"/>
              </w:rPr>
              <w:t>2014</w:t>
            </w:r>
            <w:r w:rsidR="00B73450">
              <w:rPr>
                <w:rFonts w:eastAsia="Times New Roman" w:cs="Calibri"/>
                <w:color w:val="000000"/>
                <w:kern w:val="28"/>
                <w:sz w:val="22"/>
                <w:szCs w:val="22"/>
              </w:rPr>
              <w:t xml:space="preserve"> and 2016.</w:t>
            </w:r>
          </w:p>
        </w:tc>
      </w:tr>
      <w:tr w:rsidR="001B70B4" w:rsidRPr="003C5252" w:rsidTr="001237B1">
        <w:trPr>
          <w:trHeight w:val="881"/>
          <w:jc w:val="center"/>
        </w:trPr>
        <w:tc>
          <w:tcPr>
            <w:tcW w:w="1548" w:type="dxa"/>
            <w:vMerge/>
            <w:vAlign w:val="center"/>
          </w:tcPr>
          <w:p w:rsidR="001B70B4" w:rsidRPr="001133C0" w:rsidRDefault="001B70B4" w:rsidP="001237B1">
            <w:pPr>
              <w:widowControl w:val="0"/>
              <w:rPr>
                <w:rFonts w:eastAsia="Times New Roman" w:cs="Calibri"/>
                <w:color w:val="000000"/>
                <w:kern w:val="28"/>
                <w:sz w:val="22"/>
                <w:szCs w:val="22"/>
              </w:rPr>
            </w:pPr>
          </w:p>
        </w:tc>
        <w:tc>
          <w:tcPr>
            <w:tcW w:w="3870" w:type="dxa"/>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Youth Riding with Drinking Driver</w:t>
            </w:r>
          </w:p>
        </w:tc>
        <w:tc>
          <w:tcPr>
            <w:tcW w:w="5904" w:type="dxa"/>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Percentage of youth that took the OPNA survey reported riding with a driver that has been drinking alcohol in the past 3</w:t>
            </w:r>
            <w:r w:rsidR="00B73450">
              <w:rPr>
                <w:rFonts w:eastAsia="Times New Roman" w:cs="Calibri"/>
                <w:color w:val="000000"/>
                <w:kern w:val="28"/>
                <w:sz w:val="22"/>
                <w:szCs w:val="22"/>
              </w:rPr>
              <w:t xml:space="preserve">0 days for </w:t>
            </w:r>
            <w:r w:rsidR="00E251B9">
              <w:rPr>
                <w:rFonts w:eastAsia="Times New Roman" w:cs="Calibri"/>
                <w:color w:val="000000"/>
                <w:kern w:val="28"/>
                <w:sz w:val="22"/>
                <w:szCs w:val="22"/>
              </w:rPr>
              <w:t xml:space="preserve">the </w:t>
            </w:r>
            <w:r w:rsidR="00B73450">
              <w:rPr>
                <w:rFonts w:eastAsia="Times New Roman" w:cs="Calibri"/>
                <w:color w:val="000000"/>
                <w:kern w:val="28"/>
                <w:sz w:val="22"/>
                <w:szCs w:val="22"/>
              </w:rPr>
              <w:t xml:space="preserve">years 2010, </w:t>
            </w:r>
            <w:r w:rsidRPr="001133C0">
              <w:rPr>
                <w:rFonts w:eastAsia="Times New Roman" w:cs="Calibri"/>
                <w:color w:val="000000"/>
                <w:kern w:val="28"/>
                <w:sz w:val="22"/>
                <w:szCs w:val="22"/>
              </w:rPr>
              <w:t>2014</w:t>
            </w:r>
            <w:r w:rsidR="00B73450">
              <w:rPr>
                <w:rFonts w:eastAsia="Times New Roman" w:cs="Calibri"/>
                <w:color w:val="000000"/>
                <w:kern w:val="28"/>
                <w:sz w:val="22"/>
                <w:szCs w:val="22"/>
              </w:rPr>
              <w:t xml:space="preserve"> and 2016.</w:t>
            </w:r>
            <w:r w:rsidRPr="001133C0">
              <w:rPr>
                <w:rFonts w:eastAsia="Times New Roman" w:cs="Calibri"/>
                <w:color w:val="000000"/>
                <w:kern w:val="28"/>
                <w:sz w:val="22"/>
                <w:szCs w:val="22"/>
              </w:rPr>
              <w:t xml:space="preserve">  </w:t>
            </w:r>
          </w:p>
        </w:tc>
      </w:tr>
      <w:tr w:rsidR="001B70B4" w:rsidRPr="003C5252" w:rsidTr="001237B1">
        <w:trPr>
          <w:trHeight w:val="881"/>
          <w:jc w:val="center"/>
        </w:trPr>
        <w:tc>
          <w:tcPr>
            <w:tcW w:w="1548" w:type="dxa"/>
            <w:vMerge/>
            <w:vAlign w:val="center"/>
          </w:tcPr>
          <w:p w:rsidR="001B70B4" w:rsidRPr="001133C0" w:rsidRDefault="001B70B4" w:rsidP="001237B1">
            <w:pPr>
              <w:widowControl w:val="0"/>
              <w:rPr>
                <w:rFonts w:eastAsia="Times New Roman" w:cs="Calibri"/>
                <w:color w:val="000000"/>
                <w:kern w:val="28"/>
                <w:sz w:val="22"/>
                <w:szCs w:val="22"/>
              </w:rPr>
            </w:pPr>
          </w:p>
        </w:tc>
        <w:tc>
          <w:tcPr>
            <w:tcW w:w="3870" w:type="dxa"/>
            <w:vAlign w:val="center"/>
          </w:tcPr>
          <w:p w:rsidR="001B70B4" w:rsidRPr="001133C0" w:rsidRDefault="001B70B4"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Adult Binge Drinking</w:t>
            </w:r>
          </w:p>
        </w:tc>
        <w:tc>
          <w:tcPr>
            <w:tcW w:w="5904" w:type="dxa"/>
            <w:vAlign w:val="center"/>
          </w:tcPr>
          <w:p w:rsidR="001B70B4" w:rsidRPr="001133C0" w:rsidRDefault="00B73450" w:rsidP="001237B1">
            <w:pPr>
              <w:widowControl w:val="0"/>
              <w:rPr>
                <w:rFonts w:eastAsia="Times New Roman" w:cs="Calibri"/>
                <w:color w:val="000000"/>
                <w:kern w:val="28"/>
                <w:sz w:val="22"/>
                <w:szCs w:val="22"/>
              </w:rPr>
            </w:pPr>
            <w:r>
              <w:rPr>
                <w:rFonts w:eastAsia="Times New Roman" w:cs="Calibri"/>
                <w:color w:val="000000"/>
                <w:kern w:val="28"/>
                <w:sz w:val="22"/>
                <w:szCs w:val="22"/>
              </w:rPr>
              <w:t>Oklahoma State Department of Health. State of the State’s Health Report</w:t>
            </w:r>
            <w:r w:rsidRPr="001133C0">
              <w:rPr>
                <w:rFonts w:eastAsia="Times New Roman" w:cs="Calibri"/>
                <w:color w:val="000000"/>
                <w:kern w:val="28"/>
                <w:sz w:val="22"/>
                <w:szCs w:val="22"/>
              </w:rPr>
              <w:t>.</w:t>
            </w:r>
            <w:r>
              <w:rPr>
                <w:rFonts w:eastAsia="Times New Roman" w:cs="Calibri"/>
                <w:color w:val="000000"/>
                <w:kern w:val="28"/>
                <w:sz w:val="22"/>
                <w:szCs w:val="22"/>
              </w:rPr>
              <w:t xml:space="preserve"> Percentages were calculated for 2013, 2015 and 2016.</w:t>
            </w:r>
          </w:p>
        </w:tc>
      </w:tr>
      <w:tr w:rsidR="00B73450" w:rsidRPr="003C5252" w:rsidTr="003D10E0">
        <w:trPr>
          <w:trHeight w:val="881"/>
          <w:jc w:val="center"/>
        </w:trPr>
        <w:tc>
          <w:tcPr>
            <w:tcW w:w="1548" w:type="dxa"/>
            <w:vMerge/>
          </w:tcPr>
          <w:p w:rsidR="00B73450" w:rsidRPr="001133C0" w:rsidRDefault="00B73450" w:rsidP="001237B1">
            <w:pPr>
              <w:widowControl w:val="0"/>
              <w:rPr>
                <w:rFonts w:eastAsia="Times New Roman" w:cs="Calibri"/>
                <w:color w:val="000000"/>
                <w:kern w:val="28"/>
                <w:sz w:val="22"/>
                <w:szCs w:val="22"/>
              </w:rPr>
            </w:pPr>
          </w:p>
        </w:tc>
        <w:tc>
          <w:tcPr>
            <w:tcW w:w="3870" w:type="dxa"/>
            <w:vAlign w:val="center"/>
          </w:tcPr>
          <w:p w:rsidR="00B73450" w:rsidRPr="001133C0" w:rsidRDefault="00B73450"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Adult Heavy Drinking</w:t>
            </w:r>
          </w:p>
        </w:tc>
        <w:tc>
          <w:tcPr>
            <w:tcW w:w="5904" w:type="dxa"/>
            <w:vAlign w:val="center"/>
          </w:tcPr>
          <w:p w:rsidR="00B73450" w:rsidRPr="001133C0" w:rsidRDefault="00B73450" w:rsidP="003D10E0">
            <w:pPr>
              <w:widowControl w:val="0"/>
              <w:rPr>
                <w:rFonts w:eastAsia="Times New Roman" w:cs="Calibri"/>
                <w:color w:val="000000"/>
                <w:kern w:val="28"/>
                <w:sz w:val="22"/>
                <w:szCs w:val="22"/>
              </w:rPr>
            </w:pPr>
            <w:r>
              <w:rPr>
                <w:rFonts w:eastAsia="Times New Roman" w:cs="Calibri"/>
                <w:color w:val="000000"/>
                <w:kern w:val="28"/>
                <w:sz w:val="22"/>
                <w:szCs w:val="22"/>
              </w:rPr>
              <w:t>Oklahoma State Department of Health. State of the State’s Health Report</w:t>
            </w:r>
            <w:r w:rsidRPr="001133C0">
              <w:rPr>
                <w:rFonts w:eastAsia="Times New Roman" w:cs="Calibri"/>
                <w:color w:val="000000"/>
                <w:kern w:val="28"/>
                <w:sz w:val="22"/>
                <w:szCs w:val="22"/>
              </w:rPr>
              <w:t>.</w:t>
            </w:r>
            <w:r>
              <w:rPr>
                <w:rFonts w:eastAsia="Times New Roman" w:cs="Calibri"/>
                <w:color w:val="000000"/>
                <w:kern w:val="28"/>
                <w:sz w:val="22"/>
                <w:szCs w:val="22"/>
              </w:rPr>
              <w:t xml:space="preserve"> Percentages were calculated for 2013, 2015 and 2016.</w:t>
            </w:r>
          </w:p>
        </w:tc>
      </w:tr>
      <w:tr w:rsidR="00B73450" w:rsidRPr="003C5252" w:rsidTr="001237B1">
        <w:trPr>
          <w:trHeight w:val="341"/>
          <w:jc w:val="center"/>
        </w:trPr>
        <w:tc>
          <w:tcPr>
            <w:tcW w:w="1548" w:type="dxa"/>
            <w:tcBorders>
              <w:top w:val="triple" w:sz="4" w:space="0" w:color="auto"/>
              <w:bottom w:val="triple" w:sz="4" w:space="0" w:color="auto"/>
            </w:tcBorders>
            <w:shd w:val="clear" w:color="auto" w:fill="DBE5F1" w:themeFill="accent1" w:themeFillTint="33"/>
            <w:vAlign w:val="center"/>
          </w:tcPr>
          <w:p w:rsidR="00B73450" w:rsidRPr="001133C0" w:rsidRDefault="00B73450" w:rsidP="001237B1">
            <w:pPr>
              <w:widowControl w:val="0"/>
              <w:rPr>
                <w:rFonts w:eastAsia="Times New Roman" w:cs="Calibri"/>
                <w:b/>
                <w:i/>
                <w:color w:val="000000"/>
                <w:kern w:val="28"/>
                <w:sz w:val="22"/>
                <w:szCs w:val="22"/>
              </w:rPr>
            </w:pPr>
            <w:r w:rsidRPr="001133C0">
              <w:rPr>
                <w:rFonts w:eastAsia="Times New Roman" w:cs="Calibri"/>
                <w:b/>
                <w:i/>
                <w:color w:val="000000"/>
                <w:kern w:val="28"/>
                <w:sz w:val="22"/>
                <w:szCs w:val="22"/>
              </w:rPr>
              <w:t>Construct</w:t>
            </w:r>
          </w:p>
        </w:tc>
        <w:tc>
          <w:tcPr>
            <w:tcW w:w="3870" w:type="dxa"/>
            <w:tcBorders>
              <w:top w:val="triple" w:sz="4" w:space="0" w:color="auto"/>
              <w:bottom w:val="triple" w:sz="4" w:space="0" w:color="auto"/>
            </w:tcBorders>
            <w:shd w:val="clear" w:color="auto" w:fill="DBE5F1" w:themeFill="accent1" w:themeFillTint="33"/>
            <w:vAlign w:val="center"/>
          </w:tcPr>
          <w:p w:rsidR="00B73450" w:rsidRPr="001133C0" w:rsidRDefault="00B73450" w:rsidP="001237B1">
            <w:pPr>
              <w:widowControl w:val="0"/>
              <w:rPr>
                <w:rFonts w:eastAsia="Times New Roman" w:cs="Calibri"/>
                <w:b/>
                <w:i/>
                <w:color w:val="000000"/>
                <w:kern w:val="28"/>
                <w:sz w:val="22"/>
                <w:szCs w:val="22"/>
              </w:rPr>
            </w:pPr>
            <w:r w:rsidRPr="001133C0">
              <w:rPr>
                <w:rFonts w:eastAsia="Times New Roman" w:cs="Calibri"/>
                <w:b/>
                <w:i/>
                <w:color w:val="000000"/>
                <w:kern w:val="28"/>
                <w:sz w:val="22"/>
                <w:szCs w:val="22"/>
              </w:rPr>
              <w:t>Prescription Drugs</w:t>
            </w:r>
          </w:p>
        </w:tc>
        <w:tc>
          <w:tcPr>
            <w:tcW w:w="5904" w:type="dxa"/>
            <w:tcBorders>
              <w:top w:val="triple" w:sz="4" w:space="0" w:color="auto"/>
              <w:bottom w:val="triple" w:sz="4" w:space="0" w:color="auto"/>
            </w:tcBorders>
            <w:shd w:val="clear" w:color="auto" w:fill="DBE5F1" w:themeFill="accent1" w:themeFillTint="33"/>
            <w:vAlign w:val="center"/>
          </w:tcPr>
          <w:p w:rsidR="00B73450" w:rsidRPr="001133C0" w:rsidRDefault="00B73450" w:rsidP="001237B1">
            <w:pPr>
              <w:widowControl w:val="0"/>
              <w:rPr>
                <w:rFonts w:eastAsia="Times New Roman" w:cs="Calibri"/>
                <w:b/>
                <w:i/>
                <w:color w:val="000000"/>
                <w:kern w:val="28"/>
                <w:sz w:val="22"/>
                <w:szCs w:val="22"/>
              </w:rPr>
            </w:pPr>
            <w:r w:rsidRPr="001133C0">
              <w:rPr>
                <w:rFonts w:eastAsia="Times New Roman" w:cs="Calibri"/>
                <w:b/>
                <w:i/>
                <w:color w:val="000000"/>
                <w:kern w:val="28"/>
                <w:sz w:val="22"/>
                <w:szCs w:val="22"/>
              </w:rPr>
              <w:t>Indicator/Measure</w:t>
            </w:r>
          </w:p>
        </w:tc>
      </w:tr>
      <w:tr w:rsidR="00B73450" w:rsidRPr="003C5252" w:rsidTr="001237B1">
        <w:trPr>
          <w:trHeight w:val="341"/>
          <w:jc w:val="center"/>
        </w:trPr>
        <w:tc>
          <w:tcPr>
            <w:tcW w:w="1548" w:type="dxa"/>
            <w:vMerge w:val="restart"/>
            <w:tcBorders>
              <w:top w:val="triple" w:sz="4" w:space="0" w:color="auto"/>
            </w:tcBorders>
            <w:vAlign w:val="center"/>
          </w:tcPr>
          <w:p w:rsidR="00B73450" w:rsidRPr="001133C0" w:rsidRDefault="00B73450" w:rsidP="001237B1">
            <w:pPr>
              <w:widowControl w:val="0"/>
              <w:jc w:val="center"/>
              <w:rPr>
                <w:rFonts w:eastAsia="Times New Roman" w:cs="Calibri"/>
                <w:color w:val="000000"/>
                <w:kern w:val="28"/>
                <w:sz w:val="22"/>
                <w:szCs w:val="22"/>
              </w:rPr>
            </w:pPr>
            <w:r w:rsidRPr="001133C0">
              <w:rPr>
                <w:rFonts w:eastAsia="Times New Roman" w:cs="Calibri"/>
                <w:color w:val="000000"/>
                <w:kern w:val="28"/>
                <w:sz w:val="22"/>
                <w:szCs w:val="22"/>
              </w:rPr>
              <w:t>Consequence</w:t>
            </w:r>
          </w:p>
        </w:tc>
        <w:tc>
          <w:tcPr>
            <w:tcW w:w="3870" w:type="dxa"/>
            <w:tcBorders>
              <w:top w:val="triple" w:sz="4" w:space="0" w:color="auto"/>
              <w:bottom w:val="single" w:sz="4" w:space="0" w:color="auto"/>
            </w:tcBorders>
          </w:tcPr>
          <w:p w:rsidR="00B73450" w:rsidRPr="001133C0" w:rsidRDefault="00B73450"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Property Crime Rates</w:t>
            </w:r>
          </w:p>
        </w:tc>
        <w:tc>
          <w:tcPr>
            <w:tcW w:w="5904" w:type="dxa"/>
            <w:tcBorders>
              <w:top w:val="triple" w:sz="4" w:space="0" w:color="auto"/>
              <w:bottom w:val="single" w:sz="4" w:space="0" w:color="auto"/>
            </w:tcBorders>
          </w:tcPr>
          <w:p w:rsidR="00B73450" w:rsidRPr="001133C0" w:rsidRDefault="00B73450" w:rsidP="00F70584">
            <w:pPr>
              <w:widowControl w:val="0"/>
              <w:rPr>
                <w:rFonts w:eastAsia="Times New Roman" w:cs="Calibri"/>
                <w:color w:val="000000"/>
                <w:kern w:val="28"/>
                <w:sz w:val="22"/>
                <w:szCs w:val="22"/>
              </w:rPr>
            </w:pPr>
            <w:r w:rsidRPr="001133C0">
              <w:rPr>
                <w:rFonts w:eastAsia="Times New Roman" w:cs="Calibri"/>
                <w:color w:val="000000"/>
                <w:kern w:val="28"/>
                <w:sz w:val="22"/>
                <w:szCs w:val="22"/>
              </w:rPr>
              <w:t xml:space="preserve">Property crime counts reported by </w:t>
            </w:r>
            <w:r w:rsidR="00F70584">
              <w:rPr>
                <w:rFonts w:eastAsia="Times New Roman" w:cs="Calibri"/>
                <w:color w:val="000000"/>
                <w:kern w:val="28"/>
                <w:sz w:val="22"/>
                <w:szCs w:val="22"/>
              </w:rPr>
              <w:t>Uniform Crime Report for the years 2015-2016</w:t>
            </w:r>
            <w:r w:rsidRPr="001133C0">
              <w:rPr>
                <w:rFonts w:eastAsia="Times New Roman" w:cs="Calibri"/>
                <w:color w:val="000000"/>
                <w:kern w:val="28"/>
                <w:sz w:val="22"/>
                <w:szCs w:val="22"/>
              </w:rPr>
              <w:t>.  A combined rate was cal</w:t>
            </w:r>
            <w:r w:rsidR="00F70584">
              <w:rPr>
                <w:rFonts w:eastAsia="Times New Roman" w:cs="Calibri"/>
                <w:color w:val="000000"/>
                <w:kern w:val="28"/>
                <w:sz w:val="22"/>
                <w:szCs w:val="22"/>
              </w:rPr>
              <w:t>culated for the years 2015-2016.</w:t>
            </w:r>
          </w:p>
        </w:tc>
      </w:tr>
      <w:tr w:rsidR="00B73450" w:rsidRPr="003C5252" w:rsidTr="001237B1">
        <w:trPr>
          <w:trHeight w:val="341"/>
          <w:jc w:val="center"/>
        </w:trPr>
        <w:tc>
          <w:tcPr>
            <w:tcW w:w="1548" w:type="dxa"/>
            <w:vMerge/>
          </w:tcPr>
          <w:p w:rsidR="00B73450" w:rsidRPr="001133C0" w:rsidRDefault="00B73450" w:rsidP="001237B1">
            <w:pPr>
              <w:widowControl w:val="0"/>
              <w:rPr>
                <w:rFonts w:eastAsia="Times New Roman" w:cs="Calibri"/>
                <w:color w:val="000000"/>
                <w:kern w:val="28"/>
                <w:sz w:val="22"/>
                <w:szCs w:val="22"/>
              </w:rPr>
            </w:pPr>
          </w:p>
        </w:tc>
        <w:tc>
          <w:tcPr>
            <w:tcW w:w="3870" w:type="dxa"/>
            <w:tcBorders>
              <w:top w:val="single" w:sz="4" w:space="0" w:color="auto"/>
              <w:bottom w:val="single" w:sz="4" w:space="0" w:color="auto"/>
            </w:tcBorders>
          </w:tcPr>
          <w:p w:rsidR="00B73450" w:rsidRPr="001133C0" w:rsidRDefault="00B73450"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Opiate Overdose Death Rates</w:t>
            </w:r>
          </w:p>
        </w:tc>
        <w:tc>
          <w:tcPr>
            <w:tcW w:w="5904" w:type="dxa"/>
            <w:tcBorders>
              <w:top w:val="single" w:sz="4" w:space="0" w:color="auto"/>
              <w:bottom w:val="single" w:sz="4" w:space="0" w:color="auto"/>
            </w:tcBorders>
          </w:tcPr>
          <w:p w:rsidR="00B73450" w:rsidRPr="001133C0" w:rsidRDefault="00B73450" w:rsidP="00F70584">
            <w:pPr>
              <w:widowControl w:val="0"/>
              <w:rPr>
                <w:rFonts w:eastAsia="Times New Roman" w:cs="Calibri"/>
                <w:color w:val="000000"/>
                <w:kern w:val="28"/>
                <w:sz w:val="22"/>
                <w:szCs w:val="22"/>
              </w:rPr>
            </w:pPr>
            <w:r w:rsidRPr="001133C0">
              <w:rPr>
                <w:rFonts w:eastAsia="Times New Roman" w:cs="Calibri"/>
                <w:color w:val="000000"/>
                <w:kern w:val="28"/>
                <w:sz w:val="22"/>
                <w:szCs w:val="22"/>
              </w:rPr>
              <w:t>National Vital Statistics System (NVSS) opiate overdose death rates were calculated for the years</w:t>
            </w:r>
            <w:r w:rsidR="00F70584">
              <w:rPr>
                <w:rFonts w:eastAsia="Times New Roman" w:cs="Calibri"/>
                <w:color w:val="000000"/>
                <w:kern w:val="28"/>
                <w:sz w:val="22"/>
                <w:szCs w:val="22"/>
              </w:rPr>
              <w:t xml:space="preserve"> 2007-2016</w:t>
            </w:r>
            <w:r w:rsidRPr="001133C0">
              <w:rPr>
                <w:rFonts w:eastAsia="Times New Roman" w:cs="Calibri"/>
                <w:color w:val="000000"/>
                <w:kern w:val="28"/>
                <w:sz w:val="22"/>
                <w:szCs w:val="22"/>
              </w:rPr>
              <w:t>. (ICD Codes*: X40-49, X60-69, X85-90, Y10-19, Y35.2).</w:t>
            </w:r>
          </w:p>
        </w:tc>
      </w:tr>
      <w:tr w:rsidR="00B73450" w:rsidRPr="003C5252" w:rsidTr="001237B1">
        <w:trPr>
          <w:trHeight w:val="341"/>
          <w:jc w:val="center"/>
        </w:trPr>
        <w:tc>
          <w:tcPr>
            <w:tcW w:w="1548" w:type="dxa"/>
            <w:vMerge/>
          </w:tcPr>
          <w:p w:rsidR="00B73450" w:rsidRPr="001133C0" w:rsidRDefault="00B73450" w:rsidP="001237B1">
            <w:pPr>
              <w:widowControl w:val="0"/>
              <w:rPr>
                <w:rFonts w:eastAsia="Times New Roman" w:cs="Calibri"/>
                <w:color w:val="000000"/>
                <w:kern w:val="28"/>
                <w:sz w:val="22"/>
                <w:szCs w:val="22"/>
              </w:rPr>
            </w:pPr>
          </w:p>
        </w:tc>
        <w:tc>
          <w:tcPr>
            <w:tcW w:w="3870" w:type="dxa"/>
            <w:tcBorders>
              <w:top w:val="single" w:sz="4" w:space="0" w:color="auto"/>
              <w:bottom w:val="single" w:sz="4" w:space="0" w:color="auto"/>
            </w:tcBorders>
          </w:tcPr>
          <w:p w:rsidR="00B73450" w:rsidRPr="001133C0" w:rsidRDefault="00B73450"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Prescription Drug Treatment Admission Rates</w:t>
            </w:r>
          </w:p>
        </w:tc>
        <w:tc>
          <w:tcPr>
            <w:tcW w:w="5904" w:type="dxa"/>
            <w:tcBorders>
              <w:top w:val="single" w:sz="4" w:space="0" w:color="auto"/>
              <w:bottom w:val="single" w:sz="4" w:space="0" w:color="auto"/>
            </w:tcBorders>
          </w:tcPr>
          <w:p w:rsidR="00B73450" w:rsidRPr="001133C0" w:rsidRDefault="00B73450"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ODMHSAS funded facility prescription drug stated as drug of choice, treatment counts.  Combined rates were ca</w:t>
            </w:r>
            <w:r w:rsidR="00F70584">
              <w:rPr>
                <w:rFonts w:eastAsia="Times New Roman" w:cs="Calibri"/>
                <w:color w:val="000000"/>
                <w:kern w:val="28"/>
                <w:sz w:val="22"/>
                <w:szCs w:val="22"/>
              </w:rPr>
              <w:t>lculated for the years 2015-2016</w:t>
            </w:r>
            <w:r w:rsidRPr="001133C0">
              <w:rPr>
                <w:rFonts w:eastAsia="Times New Roman" w:cs="Calibri"/>
                <w:color w:val="000000"/>
                <w:kern w:val="28"/>
                <w:sz w:val="22"/>
                <w:szCs w:val="22"/>
              </w:rPr>
              <w:t>.</w:t>
            </w:r>
          </w:p>
        </w:tc>
      </w:tr>
      <w:tr w:rsidR="00B73450" w:rsidRPr="003C5252" w:rsidTr="001237B1">
        <w:trPr>
          <w:trHeight w:val="341"/>
          <w:jc w:val="center"/>
        </w:trPr>
        <w:tc>
          <w:tcPr>
            <w:tcW w:w="1548" w:type="dxa"/>
            <w:tcBorders>
              <w:top w:val="triple" w:sz="4" w:space="0" w:color="auto"/>
              <w:bottom w:val="triple" w:sz="4" w:space="0" w:color="auto"/>
            </w:tcBorders>
            <w:shd w:val="clear" w:color="auto" w:fill="DBE5F1" w:themeFill="accent1" w:themeFillTint="33"/>
          </w:tcPr>
          <w:p w:rsidR="00B73450" w:rsidRPr="001133C0" w:rsidRDefault="00B73450" w:rsidP="001237B1">
            <w:pPr>
              <w:widowControl w:val="0"/>
              <w:rPr>
                <w:rFonts w:eastAsia="Times New Roman" w:cs="Calibri"/>
                <w:b/>
                <w:i/>
                <w:color w:val="000000"/>
                <w:kern w:val="28"/>
                <w:sz w:val="22"/>
                <w:szCs w:val="22"/>
              </w:rPr>
            </w:pPr>
            <w:r w:rsidRPr="001133C0">
              <w:rPr>
                <w:rFonts w:eastAsia="Times New Roman" w:cs="Calibri"/>
                <w:b/>
                <w:i/>
                <w:color w:val="000000"/>
                <w:kern w:val="28"/>
                <w:sz w:val="22"/>
                <w:szCs w:val="22"/>
              </w:rPr>
              <w:t>Construct</w:t>
            </w:r>
          </w:p>
        </w:tc>
        <w:tc>
          <w:tcPr>
            <w:tcW w:w="3870" w:type="dxa"/>
            <w:tcBorders>
              <w:top w:val="triple" w:sz="4" w:space="0" w:color="auto"/>
              <w:bottom w:val="triple" w:sz="4" w:space="0" w:color="auto"/>
            </w:tcBorders>
            <w:shd w:val="clear" w:color="auto" w:fill="DBE5F1" w:themeFill="accent1" w:themeFillTint="33"/>
            <w:vAlign w:val="center"/>
          </w:tcPr>
          <w:p w:rsidR="00B73450" w:rsidRPr="001133C0" w:rsidRDefault="00B73450" w:rsidP="001237B1">
            <w:pPr>
              <w:widowControl w:val="0"/>
              <w:rPr>
                <w:rFonts w:eastAsia="Times New Roman" w:cs="Calibri"/>
                <w:b/>
                <w:i/>
                <w:color w:val="000000"/>
                <w:kern w:val="28"/>
                <w:sz w:val="22"/>
                <w:szCs w:val="22"/>
              </w:rPr>
            </w:pPr>
            <w:r w:rsidRPr="001133C0">
              <w:rPr>
                <w:rFonts w:eastAsia="Times New Roman" w:cs="Calibri"/>
                <w:b/>
                <w:i/>
                <w:color w:val="000000"/>
                <w:kern w:val="28"/>
                <w:sz w:val="22"/>
                <w:szCs w:val="22"/>
              </w:rPr>
              <w:t xml:space="preserve"> Prescription</w:t>
            </w:r>
            <w:r>
              <w:rPr>
                <w:rFonts w:eastAsia="Times New Roman" w:cs="Calibri"/>
                <w:b/>
                <w:i/>
                <w:color w:val="000000"/>
                <w:kern w:val="28"/>
                <w:sz w:val="22"/>
                <w:szCs w:val="22"/>
              </w:rPr>
              <w:t>/Illicit</w:t>
            </w:r>
            <w:r w:rsidRPr="001133C0">
              <w:rPr>
                <w:rFonts w:eastAsia="Times New Roman" w:cs="Calibri"/>
                <w:b/>
                <w:i/>
                <w:color w:val="000000"/>
                <w:kern w:val="28"/>
                <w:sz w:val="22"/>
                <w:szCs w:val="22"/>
              </w:rPr>
              <w:t xml:space="preserve"> Drugs</w:t>
            </w:r>
          </w:p>
        </w:tc>
        <w:tc>
          <w:tcPr>
            <w:tcW w:w="5904" w:type="dxa"/>
            <w:tcBorders>
              <w:top w:val="triple" w:sz="4" w:space="0" w:color="auto"/>
              <w:bottom w:val="triple" w:sz="4" w:space="0" w:color="auto"/>
            </w:tcBorders>
            <w:shd w:val="clear" w:color="auto" w:fill="DBE5F1" w:themeFill="accent1" w:themeFillTint="33"/>
            <w:vAlign w:val="center"/>
          </w:tcPr>
          <w:p w:rsidR="00B73450" w:rsidRPr="001133C0" w:rsidRDefault="00B73450" w:rsidP="001237B1">
            <w:pPr>
              <w:widowControl w:val="0"/>
              <w:rPr>
                <w:rFonts w:eastAsia="Times New Roman" w:cs="Calibri"/>
                <w:b/>
                <w:i/>
                <w:color w:val="000000"/>
                <w:kern w:val="28"/>
                <w:sz w:val="22"/>
                <w:szCs w:val="22"/>
              </w:rPr>
            </w:pPr>
            <w:r w:rsidRPr="001133C0">
              <w:rPr>
                <w:rFonts w:eastAsia="Times New Roman" w:cs="Calibri"/>
                <w:b/>
                <w:i/>
                <w:color w:val="000000"/>
                <w:kern w:val="28"/>
                <w:sz w:val="22"/>
                <w:szCs w:val="22"/>
              </w:rPr>
              <w:t>Indicator/Measure</w:t>
            </w:r>
          </w:p>
        </w:tc>
      </w:tr>
      <w:tr w:rsidR="00B73450" w:rsidRPr="003C5252" w:rsidTr="001237B1">
        <w:trPr>
          <w:trHeight w:val="341"/>
          <w:jc w:val="center"/>
        </w:trPr>
        <w:tc>
          <w:tcPr>
            <w:tcW w:w="1548" w:type="dxa"/>
            <w:vMerge w:val="restart"/>
          </w:tcPr>
          <w:p w:rsidR="00B73450" w:rsidRPr="001133C0" w:rsidRDefault="00B73450"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 xml:space="preserve"> </w:t>
            </w:r>
          </w:p>
          <w:p w:rsidR="00B73450" w:rsidRPr="001133C0" w:rsidRDefault="00B73450"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Consumption</w:t>
            </w:r>
          </w:p>
        </w:tc>
        <w:tc>
          <w:tcPr>
            <w:tcW w:w="3870" w:type="dxa"/>
            <w:tcBorders>
              <w:top w:val="single" w:sz="4" w:space="0" w:color="auto"/>
              <w:bottom w:val="single" w:sz="4" w:space="0" w:color="auto"/>
            </w:tcBorders>
            <w:vAlign w:val="center"/>
          </w:tcPr>
          <w:p w:rsidR="00B73450" w:rsidRPr="001133C0" w:rsidRDefault="00B73450"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Youth 30 Day Prescription Drug Use</w:t>
            </w:r>
          </w:p>
        </w:tc>
        <w:tc>
          <w:tcPr>
            <w:tcW w:w="5904" w:type="dxa"/>
            <w:tcBorders>
              <w:top w:val="single" w:sz="4" w:space="0" w:color="auto"/>
              <w:bottom w:val="single" w:sz="4" w:space="0" w:color="auto"/>
            </w:tcBorders>
            <w:vAlign w:val="center"/>
          </w:tcPr>
          <w:p w:rsidR="00B73450" w:rsidRPr="001133C0" w:rsidRDefault="00B73450" w:rsidP="001237B1">
            <w:pPr>
              <w:widowControl w:val="0"/>
              <w:rPr>
                <w:rFonts w:eastAsia="Times New Roman" w:cs="Calibri"/>
                <w:b/>
                <w:i/>
                <w:color w:val="000000"/>
                <w:kern w:val="28"/>
                <w:sz w:val="22"/>
                <w:szCs w:val="22"/>
              </w:rPr>
            </w:pPr>
            <w:r w:rsidRPr="001133C0">
              <w:rPr>
                <w:rFonts w:eastAsia="Times New Roman" w:cs="Calibri"/>
                <w:color w:val="000000"/>
                <w:kern w:val="28"/>
                <w:sz w:val="22"/>
                <w:szCs w:val="22"/>
              </w:rPr>
              <w:t xml:space="preserve">Percentage of youth that took the OPNA survey reporting using prescription drugs in the </w:t>
            </w:r>
            <w:r w:rsidR="00F70584">
              <w:rPr>
                <w:rFonts w:eastAsia="Times New Roman" w:cs="Calibri"/>
                <w:color w:val="000000"/>
                <w:kern w:val="28"/>
                <w:sz w:val="22"/>
                <w:szCs w:val="22"/>
              </w:rPr>
              <w:t xml:space="preserve">past 30 days for </w:t>
            </w:r>
            <w:r w:rsidR="004E7956">
              <w:rPr>
                <w:rFonts w:eastAsia="Times New Roman" w:cs="Calibri"/>
                <w:color w:val="000000"/>
                <w:kern w:val="28"/>
                <w:sz w:val="22"/>
                <w:szCs w:val="22"/>
              </w:rPr>
              <w:t xml:space="preserve">the </w:t>
            </w:r>
            <w:r w:rsidR="00F70584">
              <w:rPr>
                <w:rFonts w:eastAsia="Times New Roman" w:cs="Calibri"/>
                <w:color w:val="000000"/>
                <w:kern w:val="28"/>
                <w:sz w:val="22"/>
                <w:szCs w:val="22"/>
              </w:rPr>
              <w:t xml:space="preserve">years 2010, </w:t>
            </w:r>
            <w:r w:rsidRPr="001133C0">
              <w:rPr>
                <w:rFonts w:eastAsia="Times New Roman" w:cs="Calibri"/>
                <w:color w:val="000000"/>
                <w:kern w:val="28"/>
                <w:sz w:val="22"/>
                <w:szCs w:val="22"/>
              </w:rPr>
              <w:t>2014</w:t>
            </w:r>
            <w:r w:rsidR="00F70584">
              <w:rPr>
                <w:rFonts w:eastAsia="Times New Roman" w:cs="Calibri"/>
                <w:color w:val="000000"/>
                <w:kern w:val="28"/>
                <w:sz w:val="22"/>
                <w:szCs w:val="22"/>
              </w:rPr>
              <w:t xml:space="preserve"> and 2016</w:t>
            </w:r>
            <w:r w:rsidRPr="001133C0">
              <w:rPr>
                <w:rFonts w:eastAsia="Times New Roman" w:cs="Calibri"/>
                <w:color w:val="000000"/>
                <w:kern w:val="28"/>
                <w:sz w:val="22"/>
                <w:szCs w:val="22"/>
              </w:rPr>
              <w:t xml:space="preserve">. </w:t>
            </w:r>
          </w:p>
        </w:tc>
      </w:tr>
      <w:tr w:rsidR="00B73450" w:rsidRPr="003C5252" w:rsidTr="001237B1">
        <w:trPr>
          <w:trHeight w:val="341"/>
          <w:jc w:val="center"/>
        </w:trPr>
        <w:tc>
          <w:tcPr>
            <w:tcW w:w="1548" w:type="dxa"/>
            <w:vMerge/>
            <w:tcBorders>
              <w:bottom w:val="single" w:sz="4" w:space="0" w:color="auto"/>
            </w:tcBorders>
          </w:tcPr>
          <w:p w:rsidR="00B73450" w:rsidRPr="001133C0" w:rsidRDefault="00B73450" w:rsidP="001237B1">
            <w:pPr>
              <w:widowControl w:val="0"/>
              <w:rPr>
                <w:rFonts w:eastAsia="Times New Roman" w:cs="Calibri"/>
                <w:color w:val="000000"/>
                <w:kern w:val="28"/>
                <w:sz w:val="22"/>
                <w:szCs w:val="22"/>
              </w:rPr>
            </w:pPr>
          </w:p>
        </w:tc>
        <w:tc>
          <w:tcPr>
            <w:tcW w:w="3870" w:type="dxa"/>
            <w:tcBorders>
              <w:top w:val="single" w:sz="4" w:space="0" w:color="auto"/>
              <w:bottom w:val="single" w:sz="4" w:space="0" w:color="auto"/>
            </w:tcBorders>
            <w:vAlign w:val="center"/>
          </w:tcPr>
          <w:p w:rsidR="00B73450" w:rsidRPr="001133C0" w:rsidRDefault="00B73450"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Youth Lifetime Use Prescription Drug Use</w:t>
            </w:r>
          </w:p>
        </w:tc>
        <w:tc>
          <w:tcPr>
            <w:tcW w:w="5904" w:type="dxa"/>
            <w:tcBorders>
              <w:top w:val="single" w:sz="4" w:space="0" w:color="auto"/>
              <w:bottom w:val="single" w:sz="4" w:space="0" w:color="auto"/>
            </w:tcBorders>
            <w:vAlign w:val="center"/>
          </w:tcPr>
          <w:p w:rsidR="00B73450" w:rsidRDefault="00B73450" w:rsidP="001237B1">
            <w:pPr>
              <w:widowControl w:val="0"/>
              <w:rPr>
                <w:rFonts w:eastAsia="Times New Roman" w:cs="Calibri"/>
                <w:color w:val="000000"/>
                <w:kern w:val="28"/>
                <w:sz w:val="22"/>
                <w:szCs w:val="22"/>
              </w:rPr>
            </w:pPr>
            <w:r w:rsidRPr="001133C0">
              <w:rPr>
                <w:rFonts w:eastAsia="Times New Roman" w:cs="Calibri"/>
                <w:color w:val="000000"/>
                <w:kern w:val="28"/>
                <w:sz w:val="22"/>
                <w:szCs w:val="22"/>
              </w:rPr>
              <w:t>Percentage of youth that took the OPNA survey reporting using prescription drugs in th</w:t>
            </w:r>
            <w:r w:rsidR="00F70584">
              <w:rPr>
                <w:rFonts w:eastAsia="Times New Roman" w:cs="Calibri"/>
                <w:color w:val="000000"/>
                <w:kern w:val="28"/>
                <w:sz w:val="22"/>
                <w:szCs w:val="22"/>
              </w:rPr>
              <w:t xml:space="preserve">eir lifetime for </w:t>
            </w:r>
            <w:r w:rsidR="004E7956">
              <w:rPr>
                <w:rFonts w:eastAsia="Times New Roman" w:cs="Calibri"/>
                <w:color w:val="000000"/>
                <w:kern w:val="28"/>
                <w:sz w:val="22"/>
                <w:szCs w:val="22"/>
              </w:rPr>
              <w:t xml:space="preserve">the </w:t>
            </w:r>
            <w:r w:rsidR="00F70584">
              <w:rPr>
                <w:rFonts w:eastAsia="Times New Roman" w:cs="Calibri"/>
                <w:color w:val="000000"/>
                <w:kern w:val="28"/>
                <w:sz w:val="22"/>
                <w:szCs w:val="22"/>
              </w:rPr>
              <w:t xml:space="preserve">years 2010, </w:t>
            </w:r>
            <w:r w:rsidRPr="001133C0">
              <w:rPr>
                <w:rFonts w:eastAsia="Times New Roman" w:cs="Calibri"/>
                <w:color w:val="000000"/>
                <w:kern w:val="28"/>
                <w:sz w:val="22"/>
                <w:szCs w:val="22"/>
              </w:rPr>
              <w:t>2014</w:t>
            </w:r>
            <w:r w:rsidR="00F70584">
              <w:rPr>
                <w:rFonts w:eastAsia="Times New Roman" w:cs="Calibri"/>
                <w:color w:val="000000"/>
                <w:kern w:val="28"/>
                <w:sz w:val="22"/>
                <w:szCs w:val="22"/>
              </w:rPr>
              <w:t xml:space="preserve"> and 2016</w:t>
            </w:r>
            <w:r w:rsidRPr="001133C0">
              <w:rPr>
                <w:rFonts w:eastAsia="Times New Roman" w:cs="Calibri"/>
                <w:color w:val="000000"/>
                <w:kern w:val="28"/>
                <w:sz w:val="22"/>
                <w:szCs w:val="22"/>
              </w:rPr>
              <w:t xml:space="preserve">.  </w:t>
            </w:r>
          </w:p>
          <w:p w:rsidR="00B73450" w:rsidRPr="001133C0" w:rsidRDefault="00B73450" w:rsidP="001237B1">
            <w:pPr>
              <w:widowControl w:val="0"/>
              <w:rPr>
                <w:rFonts w:eastAsia="Times New Roman" w:cs="Calibri"/>
                <w:color w:val="000000"/>
                <w:kern w:val="28"/>
                <w:sz w:val="22"/>
                <w:szCs w:val="22"/>
              </w:rPr>
            </w:pPr>
          </w:p>
        </w:tc>
      </w:tr>
      <w:tr w:rsidR="00B73450" w:rsidRPr="003C5252" w:rsidTr="001237B1">
        <w:trPr>
          <w:trHeight w:val="341"/>
          <w:jc w:val="center"/>
        </w:trPr>
        <w:tc>
          <w:tcPr>
            <w:tcW w:w="1548" w:type="dxa"/>
            <w:tcBorders>
              <w:bottom w:val="single" w:sz="4" w:space="0" w:color="auto"/>
            </w:tcBorders>
          </w:tcPr>
          <w:p w:rsidR="00B73450" w:rsidRPr="001133C0" w:rsidRDefault="00B73450" w:rsidP="001237B1">
            <w:pPr>
              <w:widowControl w:val="0"/>
              <w:rPr>
                <w:rFonts w:eastAsia="Times New Roman" w:cs="Calibri"/>
                <w:color w:val="000000"/>
                <w:kern w:val="28"/>
              </w:rPr>
            </w:pPr>
          </w:p>
        </w:tc>
        <w:tc>
          <w:tcPr>
            <w:tcW w:w="3870" w:type="dxa"/>
            <w:tcBorders>
              <w:top w:val="single" w:sz="4" w:space="0" w:color="auto"/>
              <w:bottom w:val="single" w:sz="4" w:space="0" w:color="auto"/>
            </w:tcBorders>
            <w:vAlign w:val="center"/>
          </w:tcPr>
          <w:p w:rsidR="00B73450" w:rsidRPr="0081353E" w:rsidRDefault="00B73450" w:rsidP="001237B1">
            <w:pPr>
              <w:widowControl w:val="0"/>
              <w:rPr>
                <w:rFonts w:eastAsia="Times New Roman" w:cs="Calibri"/>
                <w:kern w:val="28"/>
                <w:sz w:val="22"/>
                <w:szCs w:val="22"/>
              </w:rPr>
            </w:pPr>
            <w:r w:rsidRPr="0081353E">
              <w:rPr>
                <w:rFonts w:eastAsia="Times New Roman" w:cs="Calibri"/>
                <w:kern w:val="28"/>
                <w:sz w:val="22"/>
                <w:szCs w:val="22"/>
              </w:rPr>
              <w:t>Illicit Drug Treatment Admissions</w:t>
            </w:r>
          </w:p>
        </w:tc>
        <w:tc>
          <w:tcPr>
            <w:tcW w:w="5904" w:type="dxa"/>
            <w:tcBorders>
              <w:top w:val="single" w:sz="4" w:space="0" w:color="auto"/>
              <w:bottom w:val="single" w:sz="4" w:space="0" w:color="auto"/>
            </w:tcBorders>
            <w:vAlign w:val="center"/>
          </w:tcPr>
          <w:p w:rsidR="00B73450" w:rsidRPr="0081353E" w:rsidRDefault="00B73450" w:rsidP="001237B1">
            <w:pPr>
              <w:widowControl w:val="0"/>
              <w:rPr>
                <w:rFonts w:eastAsia="Times New Roman" w:cs="Calibri"/>
                <w:kern w:val="28"/>
                <w:sz w:val="22"/>
                <w:szCs w:val="22"/>
              </w:rPr>
            </w:pPr>
            <w:r w:rsidRPr="0081353E">
              <w:rPr>
                <w:rFonts w:eastAsia="Times New Roman" w:cs="Calibri"/>
                <w:kern w:val="28"/>
                <w:sz w:val="22"/>
                <w:szCs w:val="22"/>
              </w:rPr>
              <w:t>ODMHSAS funded illicit drug treatment, including marijuana, heroin, cocaine, and methampheta</w:t>
            </w:r>
            <w:r w:rsidR="0081353E">
              <w:rPr>
                <w:rFonts w:eastAsia="Times New Roman" w:cs="Calibri"/>
                <w:kern w:val="28"/>
                <w:sz w:val="22"/>
                <w:szCs w:val="22"/>
              </w:rPr>
              <w:t>mine. Calculated for</w:t>
            </w:r>
            <w:r w:rsidR="004E7956">
              <w:rPr>
                <w:rFonts w:eastAsia="Times New Roman" w:cs="Calibri"/>
                <w:kern w:val="28"/>
                <w:sz w:val="22"/>
                <w:szCs w:val="22"/>
              </w:rPr>
              <w:t xml:space="preserve"> </w:t>
            </w:r>
            <w:proofErr w:type="gramStart"/>
            <w:r w:rsidR="004E7956">
              <w:rPr>
                <w:rFonts w:eastAsia="Times New Roman" w:cs="Calibri"/>
                <w:kern w:val="28"/>
                <w:sz w:val="22"/>
                <w:szCs w:val="22"/>
              </w:rPr>
              <w:t xml:space="preserve">the </w:t>
            </w:r>
            <w:r w:rsidR="0081353E">
              <w:rPr>
                <w:rFonts w:eastAsia="Times New Roman" w:cs="Calibri"/>
                <w:kern w:val="28"/>
                <w:sz w:val="22"/>
                <w:szCs w:val="22"/>
              </w:rPr>
              <w:t xml:space="preserve"> years</w:t>
            </w:r>
            <w:proofErr w:type="gramEnd"/>
            <w:r w:rsidR="0081353E">
              <w:rPr>
                <w:rFonts w:eastAsia="Times New Roman" w:cs="Calibri"/>
                <w:kern w:val="28"/>
                <w:sz w:val="22"/>
                <w:szCs w:val="22"/>
              </w:rPr>
              <w:t xml:space="preserve">  </w:t>
            </w:r>
            <w:r w:rsidRPr="0081353E">
              <w:rPr>
                <w:rFonts w:eastAsia="Times New Roman" w:cs="Calibri"/>
                <w:kern w:val="28"/>
                <w:sz w:val="22"/>
                <w:szCs w:val="22"/>
              </w:rPr>
              <w:t>2016</w:t>
            </w:r>
            <w:r w:rsidR="0081353E">
              <w:rPr>
                <w:rFonts w:eastAsia="Times New Roman" w:cs="Calibri"/>
                <w:kern w:val="28"/>
                <w:sz w:val="22"/>
                <w:szCs w:val="22"/>
              </w:rPr>
              <w:t>-2017</w:t>
            </w:r>
            <w:r w:rsidRPr="0081353E">
              <w:rPr>
                <w:rFonts w:eastAsia="Times New Roman" w:cs="Calibri"/>
                <w:kern w:val="28"/>
                <w:sz w:val="22"/>
                <w:szCs w:val="22"/>
              </w:rPr>
              <w:t>.</w:t>
            </w:r>
          </w:p>
        </w:tc>
      </w:tr>
      <w:tr w:rsidR="00B73450" w:rsidRPr="003C5252" w:rsidTr="001237B1">
        <w:trPr>
          <w:trHeight w:val="341"/>
          <w:jc w:val="center"/>
        </w:trPr>
        <w:tc>
          <w:tcPr>
            <w:tcW w:w="11322" w:type="dxa"/>
            <w:gridSpan w:val="3"/>
            <w:tcBorders>
              <w:top w:val="single" w:sz="4" w:space="0" w:color="auto"/>
              <w:bottom w:val="single" w:sz="4" w:space="0" w:color="auto"/>
            </w:tcBorders>
            <w:vAlign w:val="center"/>
          </w:tcPr>
          <w:p w:rsidR="00B73450" w:rsidRPr="001133C0" w:rsidRDefault="00B73450" w:rsidP="001237B1">
            <w:pPr>
              <w:widowControl w:val="0"/>
              <w:jc w:val="center"/>
              <w:rPr>
                <w:rFonts w:eastAsia="Times New Roman" w:cs="Calibri"/>
                <w:i/>
                <w:color w:val="000000"/>
                <w:kern w:val="28"/>
                <w:sz w:val="22"/>
                <w:szCs w:val="22"/>
              </w:rPr>
            </w:pPr>
            <w:r w:rsidRPr="001133C0">
              <w:rPr>
                <w:rFonts w:eastAsia="Times New Roman" w:cs="Calibri"/>
                <w:i/>
                <w:color w:val="000000"/>
                <w:kern w:val="28"/>
                <w:sz w:val="22"/>
                <w:szCs w:val="22"/>
              </w:rPr>
              <w:t>*ICD Codes were selected based on the 2011 CDC-10-CM guidelines for coding and reporting</w:t>
            </w:r>
          </w:p>
        </w:tc>
      </w:tr>
    </w:tbl>
    <w:p w:rsidR="001B70B4" w:rsidRPr="003C5252" w:rsidRDefault="001B70B4" w:rsidP="001B70B4">
      <w:pPr>
        <w:rPr>
          <w:rFonts w:cstheme="minorHAnsi"/>
          <w:sz w:val="24"/>
          <w:szCs w:val="24"/>
        </w:rPr>
      </w:pPr>
    </w:p>
    <w:p w:rsidR="001B70B4" w:rsidRDefault="003D10E0" w:rsidP="001B70B4">
      <w:r>
        <w:br w:type="page"/>
      </w:r>
    </w:p>
    <w:p w:rsidR="001B70B4" w:rsidRPr="003C5252" w:rsidRDefault="001B70B4" w:rsidP="001B70B4">
      <w:pPr>
        <w:jc w:val="center"/>
        <w:rPr>
          <w:rFonts w:cstheme="minorHAnsi"/>
          <w:b/>
          <w:sz w:val="28"/>
          <w:szCs w:val="28"/>
          <w:u w:val="single"/>
        </w:rPr>
      </w:pPr>
      <w:r w:rsidRPr="003C5252">
        <w:rPr>
          <w:rFonts w:cstheme="minorHAnsi"/>
          <w:b/>
          <w:sz w:val="28"/>
          <w:szCs w:val="28"/>
          <w:u w:val="single"/>
        </w:rPr>
        <w:lastRenderedPageBreak/>
        <w:t>Alcohol Consumption &amp; Consequences</w:t>
      </w:r>
    </w:p>
    <w:p w:rsidR="001B70B4" w:rsidRDefault="001B70B4" w:rsidP="001B70B4">
      <w:pPr>
        <w:spacing w:line="240" w:lineRule="auto"/>
        <w:contextualSpacing/>
        <w:rPr>
          <w:rFonts w:cstheme="minorHAnsi"/>
          <w:b/>
          <w:sz w:val="24"/>
          <w:szCs w:val="24"/>
        </w:rPr>
      </w:pPr>
      <w:r>
        <w:rPr>
          <w:rFonts w:cstheme="minorHAnsi"/>
          <w:b/>
          <w:sz w:val="24"/>
          <w:szCs w:val="24"/>
        </w:rPr>
        <w:t>Youth Alcohol Consumption Data</w:t>
      </w:r>
    </w:p>
    <w:p w:rsidR="001B70B4" w:rsidRPr="003C5252" w:rsidRDefault="001B70B4" w:rsidP="001B70B4">
      <w:pPr>
        <w:spacing w:line="240" w:lineRule="auto"/>
        <w:contextualSpacing/>
        <w:rPr>
          <w:rFonts w:cstheme="minorHAnsi"/>
          <w:b/>
          <w:sz w:val="24"/>
          <w:szCs w:val="24"/>
        </w:rPr>
      </w:pPr>
      <w:r w:rsidRPr="003C5252">
        <w:rPr>
          <w:rFonts w:cstheme="minorHAnsi"/>
          <w:b/>
          <w:sz w:val="24"/>
          <w:szCs w:val="24"/>
        </w:rPr>
        <w:t>Table 4:  Youth Consumption</w:t>
      </w:r>
    </w:p>
    <w:tbl>
      <w:tblPr>
        <w:tblStyle w:val="MediumShading1111"/>
        <w:tblW w:w="11340" w:type="dxa"/>
        <w:jc w:val="center"/>
        <w:tblLayout w:type="fixed"/>
        <w:tblLook w:val="04A0" w:firstRow="1" w:lastRow="0" w:firstColumn="1" w:lastColumn="0" w:noHBand="0" w:noVBand="1"/>
      </w:tblPr>
      <w:tblGrid>
        <w:gridCol w:w="1260"/>
        <w:gridCol w:w="630"/>
        <w:gridCol w:w="630"/>
        <w:gridCol w:w="630"/>
        <w:gridCol w:w="630"/>
        <w:gridCol w:w="630"/>
        <w:gridCol w:w="630"/>
        <w:gridCol w:w="630"/>
        <w:gridCol w:w="630"/>
        <w:gridCol w:w="630"/>
        <w:gridCol w:w="630"/>
        <w:gridCol w:w="630"/>
        <w:gridCol w:w="630"/>
        <w:gridCol w:w="630"/>
        <w:gridCol w:w="630"/>
        <w:gridCol w:w="630"/>
        <w:gridCol w:w="630"/>
      </w:tblGrid>
      <w:tr w:rsidR="001B70B4" w:rsidRPr="003C5252" w:rsidTr="001237B1">
        <w:trPr>
          <w:cnfStyle w:val="100000000000" w:firstRow="1" w:lastRow="0" w:firstColumn="0" w:lastColumn="0" w:oddVBand="0" w:evenVBand="0" w:oddHBand="0"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1260" w:type="dxa"/>
            <w:vMerge w:val="restart"/>
            <w:shd w:val="clear" w:color="auto" w:fill="BFBFBF" w:themeFill="background1" w:themeFillShade="BF"/>
            <w:textDirection w:val="btLr"/>
            <w:hideMark/>
          </w:tcPr>
          <w:p w:rsidR="001B70B4" w:rsidRPr="003C5252" w:rsidRDefault="001B70B4" w:rsidP="001237B1">
            <w:pPr>
              <w:ind w:right="113"/>
              <w:rPr>
                <w:rFonts w:eastAsia="Times New Roman" w:cs="Calibri"/>
                <w:color w:val="000000"/>
                <w:sz w:val="24"/>
                <w:szCs w:val="24"/>
              </w:rPr>
            </w:pPr>
            <w:r w:rsidRPr="003C5252">
              <w:rPr>
                <w:rFonts w:eastAsia="Times New Roman" w:cs="Calibri"/>
                <w:color w:val="000000"/>
                <w:sz w:val="24"/>
                <w:szCs w:val="24"/>
              </w:rPr>
              <w:t> </w:t>
            </w:r>
          </w:p>
        </w:tc>
        <w:tc>
          <w:tcPr>
            <w:tcW w:w="2520" w:type="dxa"/>
            <w:gridSpan w:val="4"/>
            <w:vAlign w:val="center"/>
            <w:hideMark/>
          </w:tcPr>
          <w:p w:rsidR="001B70B4" w:rsidRPr="003C5252" w:rsidRDefault="001B70B4"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4"/>
                <w:szCs w:val="24"/>
              </w:rPr>
            </w:pPr>
            <w:r w:rsidRPr="003C5252">
              <w:rPr>
                <w:rFonts w:eastAsia="Times New Roman" w:cs="Calibri"/>
                <w:color w:val="FFFFFF"/>
                <w:sz w:val="24"/>
                <w:szCs w:val="24"/>
              </w:rPr>
              <w:t>Youth Past 30 Day Use</w:t>
            </w:r>
          </w:p>
        </w:tc>
        <w:tc>
          <w:tcPr>
            <w:tcW w:w="2520" w:type="dxa"/>
            <w:gridSpan w:val="4"/>
            <w:vAlign w:val="center"/>
            <w:hideMark/>
          </w:tcPr>
          <w:p w:rsidR="001B70B4" w:rsidRPr="003C5252" w:rsidRDefault="001B70B4"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4"/>
                <w:szCs w:val="24"/>
              </w:rPr>
            </w:pPr>
            <w:r w:rsidRPr="003C5252">
              <w:rPr>
                <w:rFonts w:eastAsia="Times New Roman" w:cs="Calibri"/>
                <w:color w:val="FFFFFF"/>
                <w:sz w:val="24"/>
                <w:szCs w:val="24"/>
              </w:rPr>
              <w:t>Youth Past 30 Day Binge Use</w:t>
            </w:r>
          </w:p>
        </w:tc>
        <w:tc>
          <w:tcPr>
            <w:tcW w:w="2520" w:type="dxa"/>
            <w:gridSpan w:val="4"/>
            <w:vAlign w:val="center"/>
            <w:hideMark/>
          </w:tcPr>
          <w:p w:rsidR="001B70B4" w:rsidRPr="003C5252" w:rsidRDefault="001B70B4"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4"/>
                <w:szCs w:val="24"/>
              </w:rPr>
            </w:pPr>
            <w:r w:rsidRPr="003C5252">
              <w:rPr>
                <w:rFonts w:eastAsia="Times New Roman" w:cs="Calibri"/>
                <w:color w:val="FFFFFF"/>
                <w:sz w:val="24"/>
                <w:szCs w:val="24"/>
              </w:rPr>
              <w:t>Youth Riding with Drinking Driver</w:t>
            </w:r>
          </w:p>
        </w:tc>
        <w:tc>
          <w:tcPr>
            <w:tcW w:w="2520" w:type="dxa"/>
            <w:gridSpan w:val="4"/>
            <w:vAlign w:val="center"/>
            <w:hideMark/>
          </w:tcPr>
          <w:p w:rsidR="001B70B4" w:rsidRPr="003C5252" w:rsidRDefault="001B70B4"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4"/>
                <w:szCs w:val="24"/>
              </w:rPr>
            </w:pPr>
            <w:r w:rsidRPr="003C5252">
              <w:rPr>
                <w:rFonts w:eastAsia="Times New Roman" w:cs="Calibri"/>
                <w:color w:val="FFFFFF"/>
                <w:sz w:val="24"/>
                <w:szCs w:val="24"/>
              </w:rPr>
              <w:t>Youth Drinking and Driving</w:t>
            </w:r>
          </w:p>
        </w:tc>
      </w:tr>
      <w:tr w:rsidR="001B70B4" w:rsidRPr="003C5252" w:rsidTr="001B70B4">
        <w:trPr>
          <w:cnfStyle w:val="000000100000" w:firstRow="0" w:lastRow="0" w:firstColumn="0" w:lastColumn="0" w:oddVBand="0" w:evenVBand="0" w:oddHBand="1" w:evenHBand="0" w:firstRowFirstColumn="0" w:firstRowLastColumn="0" w:lastRowFirstColumn="0" w:lastRowLastColumn="0"/>
          <w:trHeight w:val="872"/>
          <w:jc w:val="center"/>
        </w:trPr>
        <w:tc>
          <w:tcPr>
            <w:cnfStyle w:val="001000000000" w:firstRow="0" w:lastRow="0" w:firstColumn="1" w:lastColumn="0" w:oddVBand="0" w:evenVBand="0" w:oddHBand="0" w:evenHBand="0" w:firstRowFirstColumn="0" w:firstRowLastColumn="0" w:lastRowFirstColumn="0" w:lastRowLastColumn="0"/>
            <w:tcW w:w="1260" w:type="dxa"/>
            <w:vMerge/>
            <w:tcBorders>
              <w:top w:val="single" w:sz="8" w:space="0" w:color="404040" w:themeColor="text1" w:themeTint="BF"/>
              <w:left w:val="single" w:sz="8" w:space="0" w:color="404040" w:themeColor="text1" w:themeTint="BF"/>
              <w:bottom w:val="single" w:sz="8" w:space="0" w:color="404040" w:themeColor="text1" w:themeTint="BF"/>
            </w:tcBorders>
            <w:vAlign w:val="center"/>
            <w:hideMark/>
          </w:tcPr>
          <w:p w:rsidR="001B70B4" w:rsidRPr="003C5252" w:rsidRDefault="001B70B4" w:rsidP="001237B1">
            <w:pPr>
              <w:rPr>
                <w:rFonts w:eastAsia="Times New Roman" w:cs="Calibri"/>
                <w:color w:val="000000"/>
                <w:sz w:val="24"/>
                <w:szCs w:val="24"/>
              </w:rPr>
            </w:pPr>
          </w:p>
        </w:tc>
        <w:tc>
          <w:tcPr>
            <w:tcW w:w="6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ind w:right="113"/>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eastAsia="Times New Roman" w:cs="Calibri"/>
                <w:b/>
                <w:color w:val="000000"/>
              </w:rPr>
              <w:t>6</w:t>
            </w:r>
            <w:r w:rsidRPr="003C5252">
              <w:rPr>
                <w:rFonts w:eastAsia="Times New Roman" w:cs="Calibri"/>
                <w:b/>
                <w:color w:val="000000"/>
                <w:vertAlign w:val="superscript"/>
              </w:rPr>
              <w:t>th</w:t>
            </w:r>
            <w:r w:rsidRPr="003C5252">
              <w:rPr>
                <w:rFonts w:eastAsia="Times New Roman" w:cs="Calibri"/>
                <w:b/>
                <w:color w:val="000000"/>
              </w:rPr>
              <w:t xml:space="preserve"> Grade</w:t>
            </w:r>
          </w:p>
        </w:tc>
        <w:tc>
          <w:tcPr>
            <w:tcW w:w="6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ind w:right="113"/>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eastAsia="Times New Roman" w:cs="Calibri"/>
                <w:b/>
                <w:color w:val="000000"/>
              </w:rPr>
              <w:t>8</w:t>
            </w:r>
            <w:r w:rsidRPr="003C5252">
              <w:rPr>
                <w:rFonts w:eastAsia="Times New Roman" w:cs="Calibri"/>
                <w:b/>
                <w:color w:val="000000"/>
                <w:vertAlign w:val="superscript"/>
              </w:rPr>
              <w:t>th</w:t>
            </w:r>
            <w:r w:rsidRPr="003C5252">
              <w:rPr>
                <w:rFonts w:eastAsia="Times New Roman" w:cs="Calibri"/>
                <w:b/>
                <w:color w:val="000000"/>
              </w:rPr>
              <w:t xml:space="preserve"> Grade</w:t>
            </w:r>
          </w:p>
        </w:tc>
        <w:tc>
          <w:tcPr>
            <w:tcW w:w="6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ind w:right="113"/>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eastAsia="Times New Roman" w:cs="Calibri"/>
                <w:b/>
                <w:color w:val="000000"/>
              </w:rPr>
              <w:t>10</w:t>
            </w:r>
            <w:r w:rsidRPr="003C5252">
              <w:rPr>
                <w:rFonts w:eastAsia="Times New Roman" w:cs="Calibri"/>
                <w:b/>
                <w:color w:val="000000"/>
                <w:vertAlign w:val="superscript"/>
              </w:rPr>
              <w:t>th</w:t>
            </w:r>
            <w:r w:rsidRPr="003C5252">
              <w:rPr>
                <w:rFonts w:eastAsia="Times New Roman" w:cs="Calibri"/>
                <w:b/>
                <w:color w:val="000000"/>
              </w:rPr>
              <w:t xml:space="preserve"> Grade</w:t>
            </w:r>
          </w:p>
        </w:tc>
        <w:tc>
          <w:tcPr>
            <w:tcW w:w="6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ind w:right="113"/>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eastAsia="Times New Roman" w:cs="Calibri"/>
                <w:b/>
                <w:color w:val="000000"/>
              </w:rPr>
              <w:t>12</w:t>
            </w:r>
            <w:r w:rsidRPr="003C5252">
              <w:rPr>
                <w:rFonts w:eastAsia="Times New Roman" w:cs="Calibri"/>
                <w:b/>
                <w:color w:val="000000"/>
                <w:vertAlign w:val="superscript"/>
              </w:rPr>
              <w:t>th</w:t>
            </w:r>
            <w:r w:rsidRPr="003C5252">
              <w:rPr>
                <w:rFonts w:eastAsia="Times New Roman" w:cs="Calibri"/>
                <w:b/>
                <w:color w:val="000000"/>
              </w:rPr>
              <w:t xml:space="preserve"> Grade</w:t>
            </w:r>
          </w:p>
        </w:tc>
        <w:tc>
          <w:tcPr>
            <w:tcW w:w="6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ind w:right="113"/>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eastAsia="Times New Roman" w:cs="Calibri"/>
                <w:b/>
                <w:color w:val="000000"/>
              </w:rPr>
              <w:t>6</w:t>
            </w:r>
            <w:r w:rsidRPr="003C5252">
              <w:rPr>
                <w:rFonts w:eastAsia="Times New Roman" w:cs="Calibri"/>
                <w:b/>
                <w:color w:val="000000"/>
                <w:vertAlign w:val="superscript"/>
              </w:rPr>
              <w:t>th</w:t>
            </w:r>
            <w:r w:rsidRPr="003C5252">
              <w:rPr>
                <w:rFonts w:eastAsia="Times New Roman" w:cs="Calibri"/>
                <w:b/>
                <w:color w:val="000000"/>
              </w:rPr>
              <w:t xml:space="preserve"> Grade</w:t>
            </w:r>
          </w:p>
        </w:tc>
        <w:tc>
          <w:tcPr>
            <w:tcW w:w="6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ind w:right="113"/>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eastAsia="Times New Roman" w:cs="Calibri"/>
                <w:b/>
                <w:color w:val="000000"/>
              </w:rPr>
              <w:t>8</w:t>
            </w:r>
            <w:r w:rsidRPr="003C5252">
              <w:rPr>
                <w:rFonts w:eastAsia="Times New Roman" w:cs="Calibri"/>
                <w:b/>
                <w:color w:val="000000"/>
                <w:vertAlign w:val="superscript"/>
              </w:rPr>
              <w:t>th</w:t>
            </w:r>
            <w:r w:rsidRPr="003C5252">
              <w:rPr>
                <w:rFonts w:eastAsia="Times New Roman" w:cs="Calibri"/>
                <w:b/>
                <w:color w:val="000000"/>
              </w:rPr>
              <w:t xml:space="preserve"> Grade</w:t>
            </w:r>
          </w:p>
        </w:tc>
        <w:tc>
          <w:tcPr>
            <w:tcW w:w="6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ind w:right="113"/>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eastAsia="Times New Roman" w:cs="Calibri"/>
                <w:b/>
                <w:color w:val="000000"/>
              </w:rPr>
              <w:t>10</w:t>
            </w:r>
            <w:r w:rsidRPr="003C5252">
              <w:rPr>
                <w:rFonts w:eastAsia="Times New Roman" w:cs="Calibri"/>
                <w:b/>
                <w:color w:val="000000"/>
                <w:vertAlign w:val="superscript"/>
              </w:rPr>
              <w:t>th</w:t>
            </w:r>
            <w:r w:rsidRPr="003C5252">
              <w:rPr>
                <w:rFonts w:eastAsia="Times New Roman" w:cs="Calibri"/>
                <w:b/>
                <w:color w:val="000000"/>
              </w:rPr>
              <w:t xml:space="preserve"> Grade</w:t>
            </w:r>
          </w:p>
        </w:tc>
        <w:tc>
          <w:tcPr>
            <w:tcW w:w="6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ind w:right="113"/>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eastAsia="Times New Roman" w:cs="Calibri"/>
                <w:b/>
                <w:color w:val="000000"/>
              </w:rPr>
              <w:t>12 Grade</w:t>
            </w:r>
          </w:p>
        </w:tc>
        <w:tc>
          <w:tcPr>
            <w:tcW w:w="6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ind w:right="113"/>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eastAsia="Times New Roman" w:cs="Calibri"/>
                <w:b/>
                <w:color w:val="000000"/>
              </w:rPr>
              <w:t>6</w:t>
            </w:r>
            <w:r w:rsidRPr="003C5252">
              <w:rPr>
                <w:rFonts w:eastAsia="Times New Roman" w:cs="Calibri"/>
                <w:b/>
                <w:color w:val="000000"/>
                <w:vertAlign w:val="superscript"/>
              </w:rPr>
              <w:t>th</w:t>
            </w:r>
            <w:r w:rsidRPr="003C5252">
              <w:rPr>
                <w:rFonts w:eastAsia="Times New Roman" w:cs="Calibri"/>
                <w:b/>
                <w:color w:val="000000"/>
              </w:rPr>
              <w:t xml:space="preserve"> Grade</w:t>
            </w:r>
          </w:p>
        </w:tc>
        <w:tc>
          <w:tcPr>
            <w:tcW w:w="6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ind w:right="113"/>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eastAsia="Times New Roman" w:cs="Calibri"/>
                <w:b/>
                <w:color w:val="000000"/>
              </w:rPr>
              <w:t>8</w:t>
            </w:r>
            <w:r w:rsidRPr="003C5252">
              <w:rPr>
                <w:rFonts w:eastAsia="Times New Roman" w:cs="Calibri"/>
                <w:b/>
                <w:color w:val="000000"/>
                <w:vertAlign w:val="superscript"/>
              </w:rPr>
              <w:t>th</w:t>
            </w:r>
            <w:r w:rsidRPr="003C5252">
              <w:rPr>
                <w:rFonts w:eastAsia="Times New Roman" w:cs="Calibri"/>
                <w:b/>
                <w:color w:val="000000"/>
              </w:rPr>
              <w:t xml:space="preserve"> Grade</w:t>
            </w:r>
          </w:p>
        </w:tc>
        <w:tc>
          <w:tcPr>
            <w:tcW w:w="6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ind w:right="113"/>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eastAsia="Times New Roman" w:cs="Calibri"/>
                <w:b/>
                <w:color w:val="000000"/>
              </w:rPr>
              <w:t>10</w:t>
            </w:r>
            <w:r w:rsidRPr="003C5252">
              <w:rPr>
                <w:rFonts w:eastAsia="Times New Roman" w:cs="Calibri"/>
                <w:b/>
                <w:color w:val="000000"/>
                <w:vertAlign w:val="superscript"/>
              </w:rPr>
              <w:t>th</w:t>
            </w:r>
            <w:r w:rsidRPr="003C5252">
              <w:rPr>
                <w:rFonts w:eastAsia="Times New Roman" w:cs="Calibri"/>
                <w:b/>
                <w:color w:val="000000"/>
              </w:rPr>
              <w:t xml:space="preserve"> Grade</w:t>
            </w:r>
          </w:p>
        </w:tc>
        <w:tc>
          <w:tcPr>
            <w:tcW w:w="6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ind w:right="113"/>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eastAsia="Times New Roman" w:cs="Calibri"/>
                <w:b/>
                <w:color w:val="000000"/>
              </w:rPr>
              <w:t>12</w:t>
            </w:r>
            <w:r w:rsidRPr="003C5252">
              <w:rPr>
                <w:rFonts w:eastAsia="Times New Roman" w:cs="Calibri"/>
                <w:b/>
                <w:color w:val="000000"/>
                <w:vertAlign w:val="superscript"/>
              </w:rPr>
              <w:t>th</w:t>
            </w:r>
            <w:r w:rsidRPr="003C5252">
              <w:rPr>
                <w:rFonts w:eastAsia="Times New Roman" w:cs="Calibri"/>
                <w:b/>
                <w:color w:val="000000"/>
              </w:rPr>
              <w:t xml:space="preserve"> Grade</w:t>
            </w:r>
          </w:p>
        </w:tc>
        <w:tc>
          <w:tcPr>
            <w:tcW w:w="6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ind w:right="113"/>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eastAsia="Times New Roman" w:cs="Calibri"/>
                <w:b/>
                <w:color w:val="000000"/>
              </w:rPr>
              <w:t>6</w:t>
            </w:r>
            <w:r w:rsidRPr="003C5252">
              <w:rPr>
                <w:rFonts w:eastAsia="Times New Roman" w:cs="Calibri"/>
                <w:b/>
                <w:color w:val="000000"/>
                <w:vertAlign w:val="superscript"/>
              </w:rPr>
              <w:t>th</w:t>
            </w:r>
            <w:r w:rsidRPr="003C5252">
              <w:rPr>
                <w:rFonts w:eastAsia="Times New Roman" w:cs="Calibri"/>
                <w:b/>
                <w:color w:val="000000"/>
              </w:rPr>
              <w:t xml:space="preserve"> Grade</w:t>
            </w:r>
          </w:p>
        </w:tc>
        <w:tc>
          <w:tcPr>
            <w:tcW w:w="6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ind w:right="113"/>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eastAsia="Times New Roman" w:cs="Calibri"/>
                <w:b/>
                <w:color w:val="000000"/>
              </w:rPr>
              <w:t>8</w:t>
            </w:r>
            <w:r w:rsidRPr="003C5252">
              <w:rPr>
                <w:rFonts w:eastAsia="Times New Roman" w:cs="Calibri"/>
                <w:b/>
                <w:color w:val="000000"/>
                <w:vertAlign w:val="superscript"/>
              </w:rPr>
              <w:t>th</w:t>
            </w:r>
            <w:r w:rsidRPr="003C5252">
              <w:rPr>
                <w:rFonts w:eastAsia="Times New Roman" w:cs="Calibri"/>
                <w:b/>
                <w:color w:val="000000"/>
              </w:rPr>
              <w:t xml:space="preserve"> Grade</w:t>
            </w:r>
          </w:p>
        </w:tc>
        <w:tc>
          <w:tcPr>
            <w:tcW w:w="6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ind w:right="113"/>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eastAsia="Times New Roman" w:cs="Calibri"/>
                <w:b/>
                <w:color w:val="000000"/>
              </w:rPr>
              <w:t>10</w:t>
            </w:r>
            <w:r w:rsidRPr="003C5252">
              <w:rPr>
                <w:rFonts w:eastAsia="Times New Roman" w:cs="Calibri"/>
                <w:b/>
                <w:color w:val="000000"/>
                <w:vertAlign w:val="superscript"/>
              </w:rPr>
              <w:t>th</w:t>
            </w:r>
            <w:r w:rsidRPr="003C5252">
              <w:rPr>
                <w:rFonts w:eastAsia="Times New Roman" w:cs="Calibri"/>
                <w:b/>
                <w:color w:val="000000"/>
              </w:rPr>
              <w:t xml:space="preserve"> Grade</w:t>
            </w:r>
          </w:p>
        </w:tc>
        <w:tc>
          <w:tcPr>
            <w:tcW w:w="6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ind w:right="113"/>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eastAsia="Times New Roman" w:cs="Calibri"/>
                <w:b/>
                <w:color w:val="000000"/>
              </w:rPr>
              <w:t>12</w:t>
            </w:r>
            <w:r w:rsidRPr="003C5252">
              <w:rPr>
                <w:rFonts w:eastAsia="Times New Roman" w:cs="Calibri"/>
                <w:b/>
                <w:color w:val="000000"/>
                <w:vertAlign w:val="superscript"/>
              </w:rPr>
              <w:t>th</w:t>
            </w:r>
            <w:r w:rsidRPr="003C5252">
              <w:rPr>
                <w:rFonts w:eastAsia="Times New Roman" w:cs="Calibri"/>
                <w:b/>
                <w:color w:val="000000"/>
              </w:rPr>
              <w:t xml:space="preserve"> Grade</w:t>
            </w:r>
          </w:p>
        </w:tc>
      </w:tr>
      <w:tr w:rsidR="001B70B4" w:rsidRPr="003C5252" w:rsidTr="009B048C">
        <w:trPr>
          <w:cnfStyle w:val="000000010000" w:firstRow="0" w:lastRow="0" w:firstColumn="0" w:lastColumn="0" w:oddVBand="0" w:evenVBand="0" w:oddHBand="0" w:evenHBand="1"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FFFF00"/>
            <w:vAlign w:val="center"/>
            <w:hideMark/>
          </w:tcPr>
          <w:p w:rsidR="001B70B4" w:rsidRPr="003C5252" w:rsidRDefault="001B70B4" w:rsidP="001237B1">
            <w:pPr>
              <w:rPr>
                <w:rFonts w:eastAsia="Times New Roman" w:cs="Calibri"/>
                <w:color w:val="000000"/>
                <w:sz w:val="24"/>
                <w:szCs w:val="24"/>
              </w:rPr>
            </w:pPr>
            <w:r w:rsidRPr="003C5252">
              <w:rPr>
                <w:rFonts w:eastAsia="Times New Roman" w:cs="Calibri"/>
                <w:color w:val="000000"/>
                <w:sz w:val="24"/>
                <w:szCs w:val="24"/>
              </w:rPr>
              <w:t>OK</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3C5252" w:rsidRDefault="006E6DAD"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6.2</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3C5252" w:rsidRDefault="006E6DAD"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15.0</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3C5252" w:rsidRDefault="006E6DAD"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24.6</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3C5252" w:rsidRDefault="006E6DAD"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36.9</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3C5252" w:rsidRDefault="006E6DAD"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3.7</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3C5252" w:rsidRDefault="006E6DAD"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8.3</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3C5252" w:rsidRDefault="006E6DAD"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13.8</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3C5252" w:rsidRDefault="006E6DAD"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21.8</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3C5252" w:rsidRDefault="009B048C"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17.8</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3C5252" w:rsidRDefault="009B048C"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19.4</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3C5252" w:rsidRDefault="009B048C"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19.2</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3C5252" w:rsidRDefault="009B048C"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21.0</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3C5252" w:rsidRDefault="009B048C"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1.5</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3C5252" w:rsidRDefault="009B048C"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2.6</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3C5252" w:rsidRDefault="009B048C"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4.4</w:t>
            </w:r>
          </w:p>
        </w:tc>
        <w:tc>
          <w:tcPr>
            <w:tcW w:w="630" w:type="dxa"/>
            <w:tcBorders>
              <w:top w:val="single" w:sz="8" w:space="0" w:color="404040" w:themeColor="text1" w:themeTint="BF"/>
              <w:bottom w:val="single" w:sz="8" w:space="0" w:color="404040" w:themeColor="text1" w:themeTint="BF"/>
              <w:right w:val="single" w:sz="8" w:space="0" w:color="404040" w:themeColor="text1" w:themeTint="BF"/>
            </w:tcBorders>
            <w:shd w:val="clear" w:color="auto" w:fill="FFFF00"/>
            <w:vAlign w:val="center"/>
            <w:hideMark/>
          </w:tcPr>
          <w:p w:rsidR="001B70B4" w:rsidRPr="003C5252" w:rsidRDefault="009B048C"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9.7</w:t>
            </w:r>
          </w:p>
        </w:tc>
      </w:tr>
      <w:tr w:rsidR="001B70B4" w:rsidRPr="003C5252" w:rsidTr="001B70B4">
        <w:trPr>
          <w:cnfStyle w:val="000000100000" w:firstRow="0" w:lastRow="0" w:firstColumn="0" w:lastColumn="0" w:oddVBand="0" w:evenVBand="0" w:oddHBand="1"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FFFF00"/>
            <w:vAlign w:val="center"/>
            <w:hideMark/>
          </w:tcPr>
          <w:p w:rsidR="001B70B4" w:rsidRPr="002A7ED0" w:rsidRDefault="001B70B4" w:rsidP="001237B1">
            <w:pPr>
              <w:rPr>
                <w:rFonts w:eastAsia="Times New Roman" w:cs="Calibri"/>
                <w:sz w:val="24"/>
                <w:szCs w:val="24"/>
              </w:rPr>
            </w:pPr>
            <w:r w:rsidRPr="002A7ED0">
              <w:rPr>
                <w:rFonts w:eastAsia="Times New Roman" w:cs="Calibri"/>
                <w:sz w:val="24"/>
                <w:szCs w:val="24"/>
              </w:rPr>
              <w:t>Bryan*</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2A7ED0"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A7ED0">
              <w:rPr>
                <w:rFonts w:eastAsia="Times New Roman" w:cs="Calibri"/>
                <w:sz w:val="18"/>
                <w:szCs w:val="18"/>
              </w:rPr>
              <w:t>9.6</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2A7ED0"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A7ED0">
              <w:rPr>
                <w:rFonts w:eastAsia="Times New Roman" w:cs="Calibri"/>
                <w:sz w:val="18"/>
                <w:szCs w:val="18"/>
              </w:rPr>
              <w:t>20.1</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2A7ED0"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A7ED0">
              <w:rPr>
                <w:rFonts w:eastAsia="Times New Roman" w:cs="Calibri"/>
                <w:sz w:val="18"/>
                <w:szCs w:val="18"/>
              </w:rPr>
              <w:t>33.6</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2A7ED0"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A7ED0">
              <w:rPr>
                <w:rFonts w:eastAsia="Times New Roman" w:cs="Calibri"/>
                <w:sz w:val="18"/>
                <w:szCs w:val="18"/>
              </w:rPr>
              <w:t>35.9</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2A7ED0"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A7ED0">
              <w:rPr>
                <w:rFonts w:eastAsia="Times New Roman" w:cs="Calibri"/>
                <w:sz w:val="18"/>
                <w:szCs w:val="18"/>
              </w:rPr>
              <w:t>7.1</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2A7ED0"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A7ED0">
              <w:rPr>
                <w:rFonts w:eastAsia="Times New Roman" w:cs="Calibri"/>
                <w:sz w:val="18"/>
                <w:szCs w:val="18"/>
              </w:rPr>
              <w:t>12.1</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2A7ED0"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A7ED0">
              <w:rPr>
                <w:rFonts w:eastAsia="Times New Roman" w:cs="Calibri"/>
                <w:sz w:val="18"/>
                <w:szCs w:val="18"/>
              </w:rPr>
              <w:t>22.7</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2A7ED0"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A7ED0">
              <w:rPr>
                <w:rFonts w:eastAsia="Times New Roman" w:cs="Calibri"/>
                <w:sz w:val="18"/>
                <w:szCs w:val="18"/>
              </w:rPr>
              <w:t>31.4</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2A7ED0" w:rsidRDefault="001B70B4" w:rsidP="001237B1">
            <w:pP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A7ED0">
              <w:rPr>
                <w:rFonts w:eastAsia="Times New Roman" w:cs="Calibri"/>
                <w:sz w:val="18"/>
                <w:szCs w:val="18"/>
              </w:rPr>
              <w:t>14.7</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2A7ED0"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A7ED0">
              <w:rPr>
                <w:rFonts w:eastAsia="Times New Roman" w:cs="Calibri"/>
                <w:sz w:val="18"/>
                <w:szCs w:val="18"/>
              </w:rPr>
              <w:t>20.8</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2A7ED0"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A7ED0">
              <w:rPr>
                <w:rFonts w:eastAsia="Times New Roman" w:cs="Calibri"/>
                <w:sz w:val="18"/>
                <w:szCs w:val="18"/>
              </w:rPr>
              <w:t>20.7</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2A7ED0"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A7ED0">
              <w:rPr>
                <w:rFonts w:eastAsia="Times New Roman" w:cs="Calibri"/>
                <w:sz w:val="18"/>
                <w:szCs w:val="18"/>
              </w:rPr>
              <w:t>30.2</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2A7ED0"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A7ED0">
              <w:rPr>
                <w:rFonts w:eastAsia="Times New Roman" w:cs="Calibri"/>
                <w:sz w:val="18"/>
                <w:szCs w:val="18"/>
              </w:rPr>
              <w:t>0.0</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2A7ED0"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A7ED0">
              <w:rPr>
                <w:rFonts w:eastAsia="Times New Roman" w:cs="Calibri"/>
                <w:sz w:val="18"/>
                <w:szCs w:val="18"/>
              </w:rPr>
              <w:t>2.0</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2A7ED0"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A7ED0">
              <w:rPr>
                <w:rFonts w:eastAsia="Times New Roman" w:cs="Calibri"/>
                <w:sz w:val="18"/>
                <w:szCs w:val="18"/>
              </w:rPr>
              <w:t>7.3</w:t>
            </w:r>
          </w:p>
        </w:tc>
        <w:tc>
          <w:tcPr>
            <w:tcW w:w="630" w:type="dxa"/>
            <w:tcBorders>
              <w:top w:val="single" w:sz="8" w:space="0" w:color="404040" w:themeColor="text1" w:themeTint="BF"/>
              <w:bottom w:val="single" w:sz="8" w:space="0" w:color="404040" w:themeColor="text1" w:themeTint="BF"/>
              <w:right w:val="single" w:sz="8" w:space="0" w:color="404040" w:themeColor="text1" w:themeTint="BF"/>
            </w:tcBorders>
            <w:shd w:val="clear" w:color="auto" w:fill="FFFF00"/>
            <w:vAlign w:val="center"/>
            <w:hideMark/>
          </w:tcPr>
          <w:p w:rsidR="001B70B4" w:rsidRPr="002A7ED0"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A7ED0">
              <w:rPr>
                <w:rFonts w:eastAsia="Times New Roman" w:cs="Calibri"/>
                <w:sz w:val="18"/>
                <w:szCs w:val="18"/>
              </w:rPr>
              <w:t>16.2</w:t>
            </w:r>
          </w:p>
        </w:tc>
      </w:tr>
      <w:tr w:rsidR="001B70B4" w:rsidRPr="003C5252" w:rsidTr="001B70B4">
        <w:trPr>
          <w:cnfStyle w:val="000000010000" w:firstRow="0" w:lastRow="0" w:firstColumn="0" w:lastColumn="0" w:oddVBand="0" w:evenVBand="0" w:oddHBand="0" w:evenHBand="1"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FFFF00"/>
            <w:vAlign w:val="center"/>
            <w:hideMark/>
          </w:tcPr>
          <w:p w:rsidR="00A00D33" w:rsidRPr="00DE142B" w:rsidRDefault="001B70B4" w:rsidP="001237B1">
            <w:pPr>
              <w:rPr>
                <w:rFonts w:eastAsia="Times New Roman" w:cs="Calibri"/>
                <w:sz w:val="24"/>
                <w:szCs w:val="24"/>
                <w:highlight w:val="yellow"/>
              </w:rPr>
            </w:pPr>
            <w:r w:rsidRPr="00DE142B">
              <w:rPr>
                <w:rFonts w:eastAsia="Times New Roman" w:cs="Calibri"/>
                <w:sz w:val="24"/>
                <w:szCs w:val="24"/>
                <w:highlight w:val="yellow"/>
              </w:rPr>
              <w:t>Carter</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DE142B"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highlight w:val="yellow"/>
              </w:rPr>
            </w:pPr>
            <w:r w:rsidRPr="00DE142B">
              <w:rPr>
                <w:rFonts w:eastAsia="Times New Roman" w:cs="Calibri"/>
                <w:sz w:val="18"/>
                <w:szCs w:val="18"/>
                <w:highlight w:val="yellow"/>
              </w:rPr>
              <w:t>4.0</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DE142B"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highlight w:val="yellow"/>
              </w:rPr>
            </w:pPr>
            <w:r w:rsidRPr="00DE142B">
              <w:rPr>
                <w:rFonts w:eastAsia="Times New Roman" w:cs="Calibri"/>
                <w:sz w:val="18"/>
                <w:szCs w:val="18"/>
                <w:highlight w:val="yellow"/>
              </w:rPr>
              <w:t>12.8</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DE142B"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highlight w:val="yellow"/>
              </w:rPr>
            </w:pPr>
            <w:r w:rsidRPr="00DE142B">
              <w:rPr>
                <w:rFonts w:eastAsia="Times New Roman" w:cs="Calibri"/>
                <w:sz w:val="18"/>
                <w:szCs w:val="18"/>
                <w:highlight w:val="yellow"/>
              </w:rPr>
              <w:t>23.1</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DE142B"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highlight w:val="yellow"/>
              </w:rPr>
            </w:pPr>
            <w:r w:rsidRPr="00DE142B">
              <w:rPr>
                <w:rFonts w:eastAsia="Times New Roman" w:cs="Calibri"/>
                <w:sz w:val="18"/>
                <w:szCs w:val="18"/>
                <w:highlight w:val="yellow"/>
              </w:rPr>
              <w:t>36.2</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DE142B"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highlight w:val="yellow"/>
              </w:rPr>
            </w:pPr>
            <w:r w:rsidRPr="00DE142B">
              <w:rPr>
                <w:rFonts w:eastAsia="Times New Roman" w:cs="Calibri"/>
                <w:sz w:val="18"/>
                <w:szCs w:val="18"/>
                <w:highlight w:val="yellow"/>
              </w:rPr>
              <w:t>2.4</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DE142B"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highlight w:val="yellow"/>
              </w:rPr>
            </w:pPr>
            <w:r w:rsidRPr="00DE142B">
              <w:rPr>
                <w:rFonts w:eastAsia="Times New Roman" w:cs="Calibri"/>
                <w:sz w:val="18"/>
                <w:szCs w:val="18"/>
                <w:highlight w:val="yellow"/>
              </w:rPr>
              <w:t>6.9</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DE142B"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highlight w:val="yellow"/>
              </w:rPr>
            </w:pPr>
            <w:r w:rsidRPr="00DE142B">
              <w:rPr>
                <w:rFonts w:eastAsia="Times New Roman" w:cs="Calibri"/>
                <w:sz w:val="18"/>
                <w:szCs w:val="18"/>
                <w:highlight w:val="yellow"/>
              </w:rPr>
              <w:t>10.4</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DE142B"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highlight w:val="yellow"/>
              </w:rPr>
            </w:pPr>
            <w:r w:rsidRPr="00DE142B">
              <w:rPr>
                <w:rFonts w:eastAsia="Times New Roman" w:cs="Calibri"/>
                <w:sz w:val="18"/>
                <w:szCs w:val="18"/>
                <w:highlight w:val="yellow"/>
              </w:rPr>
              <w:t>23.2</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DE142B"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highlight w:val="yellow"/>
              </w:rPr>
            </w:pPr>
            <w:r w:rsidRPr="00DE142B">
              <w:rPr>
                <w:rFonts w:eastAsia="Times New Roman" w:cs="Calibri"/>
                <w:sz w:val="18"/>
                <w:szCs w:val="18"/>
                <w:highlight w:val="yellow"/>
              </w:rPr>
              <w:t>19.8</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DE142B"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highlight w:val="yellow"/>
              </w:rPr>
            </w:pPr>
            <w:r w:rsidRPr="00DE142B">
              <w:rPr>
                <w:rFonts w:eastAsia="Times New Roman" w:cs="Calibri"/>
                <w:sz w:val="18"/>
                <w:szCs w:val="18"/>
                <w:highlight w:val="yellow"/>
              </w:rPr>
              <w:t>18.7</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DE142B"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highlight w:val="yellow"/>
              </w:rPr>
            </w:pPr>
            <w:r w:rsidRPr="00DE142B">
              <w:rPr>
                <w:rFonts w:eastAsia="Times New Roman" w:cs="Calibri"/>
                <w:sz w:val="18"/>
                <w:szCs w:val="18"/>
                <w:highlight w:val="yellow"/>
              </w:rPr>
              <w:t>15.9</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DE142B"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highlight w:val="yellow"/>
              </w:rPr>
            </w:pPr>
            <w:r w:rsidRPr="00DE142B">
              <w:rPr>
                <w:rFonts w:eastAsia="Times New Roman" w:cs="Calibri"/>
                <w:sz w:val="18"/>
                <w:szCs w:val="18"/>
                <w:highlight w:val="yellow"/>
              </w:rPr>
              <w:t>15.6</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DE142B"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highlight w:val="yellow"/>
              </w:rPr>
            </w:pPr>
            <w:r w:rsidRPr="00DE142B">
              <w:rPr>
                <w:rFonts w:eastAsia="Times New Roman" w:cs="Calibri"/>
                <w:sz w:val="18"/>
                <w:szCs w:val="18"/>
                <w:highlight w:val="yellow"/>
              </w:rPr>
              <w:t>2.4</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DE142B"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highlight w:val="yellow"/>
              </w:rPr>
            </w:pPr>
            <w:r w:rsidRPr="00DE142B">
              <w:rPr>
                <w:rFonts w:eastAsia="Times New Roman" w:cs="Calibri"/>
                <w:sz w:val="18"/>
                <w:szCs w:val="18"/>
                <w:highlight w:val="yellow"/>
              </w:rPr>
              <w:t>3.6</w:t>
            </w:r>
          </w:p>
        </w:tc>
        <w:tc>
          <w:tcPr>
            <w:tcW w:w="630" w:type="dxa"/>
            <w:tcBorders>
              <w:top w:val="single" w:sz="8" w:space="0" w:color="404040" w:themeColor="text1" w:themeTint="BF"/>
              <w:bottom w:val="single" w:sz="8" w:space="0" w:color="404040" w:themeColor="text1" w:themeTint="BF"/>
            </w:tcBorders>
            <w:shd w:val="clear" w:color="auto" w:fill="FFFF00"/>
            <w:vAlign w:val="center"/>
            <w:hideMark/>
          </w:tcPr>
          <w:p w:rsidR="001B70B4" w:rsidRPr="00DE142B"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highlight w:val="yellow"/>
              </w:rPr>
            </w:pPr>
            <w:r w:rsidRPr="00DE142B">
              <w:rPr>
                <w:rFonts w:eastAsia="Times New Roman" w:cs="Calibri"/>
                <w:sz w:val="18"/>
                <w:szCs w:val="18"/>
                <w:highlight w:val="yellow"/>
              </w:rPr>
              <w:t>6.2</w:t>
            </w:r>
          </w:p>
        </w:tc>
        <w:tc>
          <w:tcPr>
            <w:tcW w:w="630" w:type="dxa"/>
            <w:tcBorders>
              <w:top w:val="single" w:sz="8" w:space="0" w:color="404040" w:themeColor="text1" w:themeTint="BF"/>
              <w:bottom w:val="single" w:sz="8" w:space="0" w:color="404040" w:themeColor="text1" w:themeTint="BF"/>
              <w:right w:val="single" w:sz="8" w:space="0" w:color="404040" w:themeColor="text1" w:themeTint="BF"/>
            </w:tcBorders>
            <w:shd w:val="clear" w:color="auto" w:fill="FFFF00"/>
            <w:vAlign w:val="center"/>
            <w:hideMark/>
          </w:tcPr>
          <w:p w:rsidR="001B70B4" w:rsidRPr="00DE142B"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highlight w:val="yellow"/>
              </w:rPr>
            </w:pPr>
            <w:r w:rsidRPr="00DE142B">
              <w:rPr>
                <w:rFonts w:eastAsia="Times New Roman" w:cs="Calibri"/>
                <w:sz w:val="18"/>
                <w:szCs w:val="18"/>
                <w:highlight w:val="yellow"/>
              </w:rPr>
              <w:t>11.3</w:t>
            </w:r>
          </w:p>
        </w:tc>
      </w:tr>
      <w:tr w:rsidR="004A1E54" w:rsidRPr="003C5252" w:rsidTr="004A1E54">
        <w:trPr>
          <w:cnfStyle w:val="000000100000" w:firstRow="0" w:lastRow="0" w:firstColumn="0" w:lastColumn="0" w:oddVBand="0" w:evenVBand="0" w:oddHBand="1"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vAlign w:val="center"/>
          </w:tcPr>
          <w:p w:rsidR="004A1E54" w:rsidRPr="0086786F" w:rsidRDefault="004A1E54" w:rsidP="006731AC">
            <w:pPr>
              <w:rPr>
                <w:rFonts w:eastAsia="Times New Roman" w:cs="Calibri"/>
                <w:sz w:val="24"/>
                <w:szCs w:val="24"/>
              </w:rPr>
            </w:pPr>
            <w:r w:rsidRPr="0086786F">
              <w:rPr>
                <w:rFonts w:eastAsia="Times New Roman" w:cs="Calibri"/>
                <w:sz w:val="24"/>
                <w:szCs w:val="24"/>
              </w:rPr>
              <w:t>Garvin</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86786F"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86786F">
              <w:rPr>
                <w:rFonts w:eastAsia="Times New Roman" w:cs="Calibri"/>
                <w:sz w:val="18"/>
                <w:szCs w:val="18"/>
              </w:rPr>
              <w:t>5.9</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86786F"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86786F">
              <w:rPr>
                <w:rFonts w:eastAsia="Times New Roman" w:cs="Calibri"/>
                <w:sz w:val="18"/>
                <w:szCs w:val="18"/>
              </w:rPr>
              <w:t>31.1</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86786F"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86786F">
              <w:rPr>
                <w:rFonts w:eastAsia="Times New Roman" w:cs="Calibri"/>
                <w:sz w:val="18"/>
                <w:szCs w:val="18"/>
              </w:rPr>
              <w:t>32.4</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86786F"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86786F">
              <w:rPr>
                <w:rFonts w:eastAsia="Times New Roman" w:cs="Calibri"/>
                <w:sz w:val="18"/>
                <w:szCs w:val="18"/>
              </w:rPr>
              <w:t>44.4</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86786F"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86786F">
              <w:rPr>
                <w:rFonts w:eastAsia="Times New Roman" w:cs="Calibri"/>
                <w:sz w:val="18"/>
                <w:szCs w:val="18"/>
              </w:rPr>
              <w:t>3.1</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86786F"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86786F">
              <w:rPr>
                <w:rFonts w:eastAsia="Times New Roman" w:cs="Calibri"/>
                <w:sz w:val="18"/>
                <w:szCs w:val="18"/>
              </w:rPr>
              <w:t>21.1</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86786F"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86786F">
              <w:rPr>
                <w:rFonts w:eastAsia="Times New Roman" w:cs="Calibri"/>
                <w:sz w:val="18"/>
                <w:szCs w:val="18"/>
              </w:rPr>
              <w:t>17.6</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86786F"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86786F">
              <w:rPr>
                <w:rFonts w:eastAsia="Times New Roman" w:cs="Calibri"/>
                <w:sz w:val="18"/>
                <w:szCs w:val="18"/>
              </w:rPr>
              <w:t>34.1</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86786F"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86786F">
              <w:rPr>
                <w:rFonts w:eastAsia="Times New Roman" w:cs="Calibri"/>
                <w:sz w:val="18"/>
                <w:szCs w:val="18"/>
              </w:rPr>
              <w:t>21.2</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86786F"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86786F">
              <w:rPr>
                <w:rFonts w:eastAsia="Times New Roman" w:cs="Calibri"/>
                <w:sz w:val="18"/>
                <w:szCs w:val="18"/>
              </w:rPr>
              <w:t>25.3</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86786F"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86786F">
              <w:rPr>
                <w:rFonts w:eastAsia="Times New Roman" w:cs="Calibri"/>
                <w:sz w:val="18"/>
                <w:szCs w:val="18"/>
              </w:rPr>
              <w:t>23.0</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86786F"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86786F">
              <w:rPr>
                <w:rFonts w:eastAsia="Times New Roman" w:cs="Calibri"/>
                <w:sz w:val="18"/>
                <w:szCs w:val="18"/>
              </w:rPr>
              <w:t>34.0</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86786F"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86786F">
              <w:rPr>
                <w:rFonts w:eastAsia="Times New Roman" w:cs="Calibri"/>
                <w:sz w:val="18"/>
                <w:szCs w:val="18"/>
              </w:rPr>
              <w:t>0.0</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86786F"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86786F">
              <w:rPr>
                <w:rFonts w:eastAsia="Times New Roman" w:cs="Calibri"/>
                <w:sz w:val="18"/>
                <w:szCs w:val="18"/>
              </w:rPr>
              <w:t>9.3</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86786F"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86786F">
              <w:rPr>
                <w:rFonts w:eastAsia="Times New Roman" w:cs="Calibri"/>
                <w:sz w:val="18"/>
                <w:szCs w:val="18"/>
              </w:rPr>
              <w:t>6.8</w:t>
            </w:r>
          </w:p>
        </w:tc>
        <w:tc>
          <w:tcPr>
            <w:tcW w:w="630" w:type="dxa"/>
            <w:tcBorders>
              <w:top w:val="single" w:sz="8" w:space="0" w:color="404040" w:themeColor="text1" w:themeTint="BF"/>
              <w:bottom w:val="single" w:sz="8" w:space="0" w:color="404040" w:themeColor="text1" w:themeTint="BF"/>
              <w:right w:val="single" w:sz="8" w:space="0" w:color="404040" w:themeColor="text1" w:themeTint="BF"/>
            </w:tcBorders>
            <w:shd w:val="clear" w:color="auto" w:fill="FFFFFF" w:themeFill="background1"/>
            <w:vAlign w:val="center"/>
          </w:tcPr>
          <w:p w:rsidR="004A1E54" w:rsidRPr="0086786F"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86786F">
              <w:rPr>
                <w:rFonts w:eastAsia="Times New Roman" w:cs="Calibri"/>
                <w:sz w:val="18"/>
                <w:szCs w:val="18"/>
              </w:rPr>
              <w:t>23.4</w:t>
            </w:r>
          </w:p>
        </w:tc>
      </w:tr>
      <w:tr w:rsidR="004A1E54" w:rsidRPr="003C5252" w:rsidTr="001237B1">
        <w:trPr>
          <w:cnfStyle w:val="000000010000" w:firstRow="0" w:lastRow="0" w:firstColumn="0" w:lastColumn="0" w:oddVBand="0" w:evenVBand="0" w:oddHBand="0" w:evenHBand="1"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vAlign w:val="center"/>
          </w:tcPr>
          <w:p w:rsidR="004A1E54" w:rsidRPr="0086786F" w:rsidRDefault="004A1E54" w:rsidP="006731AC">
            <w:pPr>
              <w:rPr>
                <w:rFonts w:eastAsia="Times New Roman" w:cs="Calibri"/>
                <w:sz w:val="24"/>
                <w:szCs w:val="24"/>
              </w:rPr>
            </w:pPr>
            <w:r w:rsidRPr="0086786F">
              <w:rPr>
                <w:rFonts w:eastAsia="Times New Roman" w:cs="Calibri"/>
                <w:sz w:val="24"/>
                <w:szCs w:val="24"/>
              </w:rPr>
              <w:t>Johnston</w:t>
            </w:r>
            <w:r>
              <w:rPr>
                <w:rFonts w:eastAsia="Times New Roman" w:cs="Calibri"/>
                <w:sz w:val="24"/>
                <w:szCs w:val="24"/>
              </w:rPr>
              <w:t>*</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86786F" w:rsidRDefault="004A1E54" w:rsidP="006731AC">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86786F">
              <w:rPr>
                <w:rFonts w:eastAsia="Times New Roman" w:cs="Calibri"/>
                <w:sz w:val="18"/>
                <w:szCs w:val="18"/>
              </w:rPr>
              <w:t>NA</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86786F" w:rsidRDefault="004A1E54" w:rsidP="006731AC">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86786F">
              <w:rPr>
                <w:rFonts w:eastAsia="Times New Roman" w:cs="Calibri"/>
                <w:sz w:val="18"/>
                <w:szCs w:val="18"/>
              </w:rPr>
              <w:t>NA</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86786F" w:rsidRDefault="004A1E54" w:rsidP="006731AC">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86786F">
              <w:rPr>
                <w:rFonts w:eastAsia="Times New Roman" w:cs="Calibri"/>
                <w:sz w:val="18"/>
                <w:szCs w:val="18"/>
              </w:rPr>
              <w:t>43.3</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86786F" w:rsidRDefault="004A1E54" w:rsidP="006731AC">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86786F">
              <w:rPr>
                <w:rFonts w:eastAsia="Times New Roman" w:cs="Calibri"/>
                <w:sz w:val="18"/>
                <w:szCs w:val="18"/>
              </w:rPr>
              <w:t>50.0</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86786F" w:rsidRDefault="004A1E54" w:rsidP="006731AC">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86786F">
              <w:rPr>
                <w:rFonts w:eastAsia="Times New Roman" w:cs="Calibri"/>
                <w:sz w:val="18"/>
                <w:szCs w:val="18"/>
              </w:rPr>
              <w:t>NA</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86786F" w:rsidRDefault="004A1E54" w:rsidP="006731AC">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86786F">
              <w:rPr>
                <w:rFonts w:eastAsia="Times New Roman" w:cs="Calibri"/>
                <w:sz w:val="18"/>
                <w:szCs w:val="18"/>
              </w:rPr>
              <w:t>NA</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86786F" w:rsidRDefault="004A1E54" w:rsidP="006731AC">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86786F">
              <w:rPr>
                <w:rFonts w:eastAsia="Times New Roman" w:cs="Calibri"/>
                <w:sz w:val="18"/>
                <w:szCs w:val="18"/>
              </w:rPr>
              <w:t>29.7</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86786F" w:rsidRDefault="004A1E54" w:rsidP="006731AC">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86786F">
              <w:rPr>
                <w:rFonts w:eastAsia="Times New Roman" w:cs="Calibri"/>
                <w:sz w:val="18"/>
                <w:szCs w:val="18"/>
              </w:rPr>
              <w:t>32.4</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86786F" w:rsidRDefault="004A1E54" w:rsidP="006731AC">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86786F">
              <w:rPr>
                <w:rFonts w:eastAsia="Times New Roman" w:cs="Calibri"/>
                <w:sz w:val="18"/>
                <w:szCs w:val="18"/>
              </w:rPr>
              <w:t>NA</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86786F" w:rsidRDefault="004A1E54" w:rsidP="006731AC">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86786F">
              <w:rPr>
                <w:rFonts w:eastAsia="Times New Roman" w:cs="Calibri"/>
                <w:sz w:val="18"/>
                <w:szCs w:val="18"/>
              </w:rPr>
              <w:t>NA</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86786F" w:rsidRDefault="004A1E54" w:rsidP="006731AC">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86786F">
              <w:rPr>
                <w:rFonts w:eastAsia="Times New Roman" w:cs="Calibri"/>
                <w:sz w:val="18"/>
                <w:szCs w:val="18"/>
              </w:rPr>
              <w:t>25.4</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86786F" w:rsidRDefault="004A1E54" w:rsidP="006731AC">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86786F">
              <w:rPr>
                <w:rFonts w:eastAsia="Times New Roman" w:cs="Calibri"/>
                <w:sz w:val="18"/>
                <w:szCs w:val="18"/>
              </w:rPr>
              <w:t>39.5</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86786F" w:rsidRDefault="004A1E54" w:rsidP="006731AC">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86786F">
              <w:rPr>
                <w:rFonts w:eastAsia="Times New Roman" w:cs="Calibri"/>
                <w:sz w:val="18"/>
                <w:szCs w:val="18"/>
              </w:rPr>
              <w:t>NA</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86786F" w:rsidRDefault="004A1E54" w:rsidP="006731AC">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86786F">
              <w:rPr>
                <w:rFonts w:eastAsia="Times New Roman" w:cs="Calibri"/>
                <w:sz w:val="18"/>
                <w:szCs w:val="18"/>
              </w:rPr>
              <w:t>NA</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86786F" w:rsidRDefault="004A1E54" w:rsidP="006731AC">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86786F">
              <w:rPr>
                <w:rFonts w:eastAsia="Times New Roman" w:cs="Calibri"/>
                <w:sz w:val="18"/>
                <w:szCs w:val="18"/>
              </w:rPr>
              <w:t>6.2</w:t>
            </w:r>
          </w:p>
        </w:tc>
        <w:tc>
          <w:tcPr>
            <w:tcW w:w="630" w:type="dxa"/>
            <w:tcBorders>
              <w:top w:val="single" w:sz="8" w:space="0" w:color="404040" w:themeColor="text1" w:themeTint="BF"/>
              <w:bottom w:val="single" w:sz="8" w:space="0" w:color="404040" w:themeColor="text1" w:themeTint="BF"/>
              <w:right w:val="single" w:sz="8" w:space="0" w:color="404040" w:themeColor="text1" w:themeTint="BF"/>
            </w:tcBorders>
            <w:shd w:val="clear" w:color="auto" w:fill="FFFFFF" w:themeFill="background1"/>
            <w:vAlign w:val="center"/>
          </w:tcPr>
          <w:p w:rsidR="004A1E54" w:rsidRPr="0086786F" w:rsidRDefault="004A1E54" w:rsidP="006731AC">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86786F">
              <w:rPr>
                <w:rFonts w:eastAsia="Times New Roman" w:cs="Calibri"/>
                <w:sz w:val="18"/>
                <w:szCs w:val="18"/>
              </w:rPr>
              <w:t>18.4</w:t>
            </w:r>
          </w:p>
        </w:tc>
      </w:tr>
      <w:tr w:rsidR="004A1E54" w:rsidRPr="003C5252" w:rsidTr="001237B1">
        <w:trPr>
          <w:cnfStyle w:val="000000100000" w:firstRow="0" w:lastRow="0" w:firstColumn="0" w:lastColumn="0" w:oddVBand="0" w:evenVBand="0" w:oddHBand="1"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vAlign w:val="center"/>
          </w:tcPr>
          <w:p w:rsidR="004A1E54" w:rsidRPr="003C5252" w:rsidRDefault="004A1E54" w:rsidP="006731AC">
            <w:pPr>
              <w:rPr>
                <w:rFonts w:eastAsia="Times New Roman" w:cs="Calibri"/>
                <w:sz w:val="24"/>
                <w:szCs w:val="24"/>
              </w:rPr>
            </w:pPr>
            <w:r w:rsidRPr="003C5252">
              <w:rPr>
                <w:rFonts w:eastAsia="Times New Roman" w:cs="Calibri"/>
                <w:sz w:val="24"/>
                <w:szCs w:val="24"/>
              </w:rPr>
              <w:t>Love*</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3C5252"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7.0</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3C5252"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30.9</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3C5252"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36.7</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3C5252"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46.4</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3C5252"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4.9</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3C5252"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19.3</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3C5252"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28.1</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3C5252"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30.9</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3C5252"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30.1</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3C5252"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25.0</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3C5252"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29.2</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tcPr>
          <w:p w:rsidR="004A1E54" w:rsidRPr="003C5252"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36.2</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3C5252"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2.7</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3C5252"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5.4</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3C5252"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11.1</w:t>
            </w:r>
          </w:p>
        </w:tc>
        <w:tc>
          <w:tcPr>
            <w:tcW w:w="630" w:type="dxa"/>
            <w:tcBorders>
              <w:top w:val="single" w:sz="8" w:space="0" w:color="404040" w:themeColor="text1" w:themeTint="BF"/>
              <w:bottom w:val="single" w:sz="8" w:space="0" w:color="404040" w:themeColor="text1" w:themeTint="BF"/>
              <w:right w:val="single" w:sz="8" w:space="0" w:color="404040" w:themeColor="text1" w:themeTint="BF"/>
            </w:tcBorders>
            <w:shd w:val="clear" w:color="auto" w:fill="FFFFFF" w:themeFill="background1"/>
            <w:vAlign w:val="center"/>
          </w:tcPr>
          <w:p w:rsidR="004A1E54" w:rsidRPr="003C5252" w:rsidRDefault="004A1E54" w:rsidP="006731AC">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20.6</w:t>
            </w:r>
          </w:p>
        </w:tc>
      </w:tr>
      <w:tr w:rsidR="004A1E54" w:rsidRPr="003C5252" w:rsidTr="001237B1">
        <w:trPr>
          <w:cnfStyle w:val="000000010000" w:firstRow="0" w:lastRow="0" w:firstColumn="0" w:lastColumn="0" w:oddVBand="0" w:evenVBand="0" w:oddHBand="0" w:evenHBand="1"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vAlign w:val="center"/>
            <w:hideMark/>
          </w:tcPr>
          <w:p w:rsidR="004A1E54" w:rsidRPr="003C5252" w:rsidRDefault="004A1E54" w:rsidP="001237B1">
            <w:pPr>
              <w:rPr>
                <w:rFonts w:eastAsia="Times New Roman" w:cs="Calibri"/>
                <w:sz w:val="24"/>
                <w:szCs w:val="24"/>
              </w:rPr>
            </w:pPr>
            <w:r w:rsidRPr="003C5252">
              <w:rPr>
                <w:rFonts w:eastAsia="Times New Roman" w:cs="Calibri"/>
                <w:sz w:val="24"/>
                <w:szCs w:val="24"/>
              </w:rPr>
              <w:t>Marshall</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3C5252">
              <w:rPr>
                <w:rFonts w:eastAsia="Times New Roman" w:cs="Calibri"/>
                <w:sz w:val="18"/>
                <w:szCs w:val="18"/>
              </w:rPr>
              <w:t>10.0</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3C5252">
              <w:rPr>
                <w:rFonts w:eastAsia="Times New Roman" w:cs="Calibri"/>
                <w:sz w:val="18"/>
                <w:szCs w:val="18"/>
              </w:rPr>
              <w:t>10.9</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3C5252">
              <w:rPr>
                <w:rFonts w:eastAsia="Times New Roman" w:cs="Calibri"/>
                <w:sz w:val="18"/>
                <w:szCs w:val="18"/>
              </w:rPr>
              <w:t>30.0</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3C5252">
              <w:rPr>
                <w:rFonts w:eastAsia="Times New Roman" w:cs="Calibri"/>
                <w:sz w:val="18"/>
                <w:szCs w:val="18"/>
              </w:rPr>
              <w:t>29.5</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3C5252">
              <w:rPr>
                <w:rFonts w:eastAsia="Times New Roman" w:cs="Calibri"/>
                <w:sz w:val="18"/>
                <w:szCs w:val="18"/>
              </w:rPr>
              <w:t>6.5</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3C5252">
              <w:rPr>
                <w:rFonts w:eastAsia="Times New Roman" w:cs="Calibri"/>
                <w:sz w:val="18"/>
                <w:szCs w:val="18"/>
              </w:rPr>
              <w:t>4.3</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3C5252">
              <w:rPr>
                <w:rFonts w:eastAsia="Times New Roman" w:cs="Calibri"/>
                <w:sz w:val="18"/>
                <w:szCs w:val="18"/>
              </w:rPr>
              <w:t>17.3</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3C5252">
              <w:rPr>
                <w:rFonts w:eastAsia="Times New Roman" w:cs="Calibri"/>
                <w:sz w:val="18"/>
                <w:szCs w:val="18"/>
              </w:rPr>
              <w:t>15.4</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3C5252">
              <w:rPr>
                <w:rFonts w:eastAsia="Times New Roman" w:cs="Calibri"/>
                <w:sz w:val="18"/>
                <w:szCs w:val="18"/>
              </w:rPr>
              <w:t>17.4</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3C5252">
              <w:rPr>
                <w:rFonts w:eastAsia="Times New Roman" w:cs="Calibri"/>
                <w:sz w:val="18"/>
                <w:szCs w:val="18"/>
              </w:rPr>
              <w:t>20.8</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3C5252">
              <w:rPr>
                <w:rFonts w:eastAsia="Times New Roman" w:cs="Calibri"/>
                <w:sz w:val="18"/>
                <w:szCs w:val="18"/>
              </w:rPr>
              <w:t>27.0</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3C5252">
              <w:rPr>
                <w:rFonts w:eastAsia="Times New Roman" w:cs="Calibri"/>
                <w:sz w:val="18"/>
                <w:szCs w:val="18"/>
              </w:rPr>
              <w:t>17.5</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3C5252">
              <w:rPr>
                <w:rFonts w:eastAsia="Times New Roman" w:cs="Calibri"/>
                <w:sz w:val="18"/>
                <w:szCs w:val="18"/>
              </w:rPr>
              <w:t>1.9</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3C5252">
              <w:rPr>
                <w:rFonts w:eastAsia="Times New Roman" w:cs="Calibri"/>
                <w:sz w:val="18"/>
                <w:szCs w:val="18"/>
              </w:rPr>
              <w:t>4.3</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3C5252">
              <w:rPr>
                <w:rFonts w:eastAsia="Times New Roman" w:cs="Calibri"/>
                <w:sz w:val="18"/>
                <w:szCs w:val="18"/>
              </w:rPr>
              <w:t>8.0</w:t>
            </w:r>
          </w:p>
        </w:tc>
        <w:tc>
          <w:tcPr>
            <w:tcW w:w="630" w:type="dxa"/>
            <w:tcBorders>
              <w:top w:val="single" w:sz="8" w:space="0" w:color="404040" w:themeColor="text1" w:themeTint="BF"/>
              <w:bottom w:val="single" w:sz="8" w:space="0" w:color="404040" w:themeColor="text1" w:themeTint="BF"/>
              <w:right w:val="single" w:sz="8" w:space="0" w:color="404040" w:themeColor="text1" w:themeTint="BF"/>
            </w:tcBorders>
            <w:shd w:val="clear" w:color="auto" w:fill="FFFFFF" w:themeFill="background1"/>
            <w:vAlign w:val="center"/>
            <w:hideMark/>
          </w:tcPr>
          <w:p w:rsidR="004A1E54" w:rsidRPr="003C5252"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sidRPr="003C5252">
              <w:rPr>
                <w:rFonts w:eastAsia="Times New Roman" w:cs="Calibri"/>
                <w:sz w:val="18"/>
                <w:szCs w:val="18"/>
              </w:rPr>
              <w:t>10.0</w:t>
            </w:r>
          </w:p>
        </w:tc>
      </w:tr>
      <w:tr w:rsidR="004A1E54" w:rsidRPr="003C5252" w:rsidTr="001237B1">
        <w:trPr>
          <w:cnfStyle w:val="000000100000" w:firstRow="0" w:lastRow="0" w:firstColumn="0" w:lastColumn="0" w:oddVBand="0" w:evenVBand="0" w:oddHBand="1"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vAlign w:val="center"/>
            <w:hideMark/>
          </w:tcPr>
          <w:p w:rsidR="004A1E54" w:rsidRPr="003C5252" w:rsidRDefault="004A1E54" w:rsidP="001237B1">
            <w:pPr>
              <w:rPr>
                <w:rFonts w:eastAsia="Times New Roman" w:cs="Calibri"/>
                <w:sz w:val="24"/>
                <w:szCs w:val="24"/>
              </w:rPr>
            </w:pPr>
            <w:r w:rsidRPr="003C5252">
              <w:rPr>
                <w:rFonts w:eastAsia="Times New Roman" w:cs="Calibri"/>
                <w:sz w:val="24"/>
                <w:szCs w:val="24"/>
              </w:rPr>
              <w:t>Murray*</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7.6</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21.0</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NA</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N/A</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4.5</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14.8</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NA</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NA</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22.4</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41.9</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NA</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NA</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3.0</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4.9</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NA</w:t>
            </w:r>
          </w:p>
        </w:tc>
        <w:tc>
          <w:tcPr>
            <w:tcW w:w="630" w:type="dxa"/>
            <w:tcBorders>
              <w:top w:val="single" w:sz="8" w:space="0" w:color="404040" w:themeColor="text1" w:themeTint="BF"/>
              <w:bottom w:val="single" w:sz="8" w:space="0" w:color="404040" w:themeColor="text1" w:themeTint="BF"/>
              <w:right w:val="single" w:sz="8" w:space="0" w:color="404040" w:themeColor="text1" w:themeTint="BF"/>
            </w:tcBorders>
            <w:shd w:val="clear" w:color="auto" w:fill="FFFFFF" w:themeFill="background1"/>
            <w:vAlign w:val="center"/>
            <w:hideMark/>
          </w:tcPr>
          <w:p w:rsidR="004A1E54" w:rsidRPr="003C5252" w:rsidRDefault="004A1E5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C5252">
              <w:rPr>
                <w:rFonts w:eastAsia="Times New Roman" w:cs="Calibri"/>
                <w:sz w:val="18"/>
                <w:szCs w:val="18"/>
              </w:rPr>
              <w:t>NA</w:t>
            </w:r>
          </w:p>
        </w:tc>
      </w:tr>
      <w:tr w:rsidR="004A1E54" w:rsidRPr="003C5252" w:rsidTr="00A00D33">
        <w:trPr>
          <w:cnfStyle w:val="000000010000" w:firstRow="0" w:lastRow="0" w:firstColumn="0" w:lastColumn="0" w:oddVBand="0" w:evenVBand="0" w:oddHBand="0" w:evenHBand="1"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FFFF00"/>
            <w:vAlign w:val="center"/>
          </w:tcPr>
          <w:p w:rsidR="004A1E54" w:rsidRPr="0086786F" w:rsidRDefault="004A1E54" w:rsidP="001237B1">
            <w:pPr>
              <w:rPr>
                <w:rFonts w:eastAsia="Times New Roman" w:cs="Calibri"/>
                <w:sz w:val="24"/>
                <w:szCs w:val="24"/>
              </w:rPr>
            </w:pPr>
            <w:r w:rsidRPr="0086786F">
              <w:rPr>
                <w:rFonts w:eastAsia="Times New Roman" w:cs="Calibri"/>
                <w:sz w:val="24"/>
                <w:szCs w:val="24"/>
              </w:rPr>
              <w:t>Pontotoc</w:t>
            </w:r>
          </w:p>
        </w:tc>
        <w:tc>
          <w:tcPr>
            <w:tcW w:w="630" w:type="dxa"/>
            <w:tcBorders>
              <w:top w:val="single" w:sz="8" w:space="0" w:color="404040" w:themeColor="text1" w:themeTint="BF"/>
              <w:bottom w:val="single" w:sz="8" w:space="0" w:color="404040" w:themeColor="text1" w:themeTint="BF"/>
            </w:tcBorders>
            <w:shd w:val="clear" w:color="auto" w:fill="FFFF00"/>
            <w:vAlign w:val="center"/>
          </w:tcPr>
          <w:p w:rsidR="004A1E54" w:rsidRPr="0086786F"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Pr>
                <w:rFonts w:eastAsia="Times New Roman" w:cs="Calibri"/>
                <w:sz w:val="18"/>
                <w:szCs w:val="18"/>
              </w:rPr>
              <w:t>3.8</w:t>
            </w:r>
          </w:p>
        </w:tc>
        <w:tc>
          <w:tcPr>
            <w:tcW w:w="630" w:type="dxa"/>
            <w:tcBorders>
              <w:top w:val="single" w:sz="8" w:space="0" w:color="404040" w:themeColor="text1" w:themeTint="BF"/>
              <w:bottom w:val="single" w:sz="8" w:space="0" w:color="404040" w:themeColor="text1" w:themeTint="BF"/>
            </w:tcBorders>
            <w:shd w:val="clear" w:color="auto" w:fill="FFFF00"/>
            <w:vAlign w:val="center"/>
          </w:tcPr>
          <w:p w:rsidR="004A1E54" w:rsidRPr="0086786F"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Pr>
                <w:rFonts w:eastAsia="Times New Roman" w:cs="Calibri"/>
                <w:sz w:val="18"/>
                <w:szCs w:val="18"/>
              </w:rPr>
              <w:t>13.1</w:t>
            </w:r>
          </w:p>
        </w:tc>
        <w:tc>
          <w:tcPr>
            <w:tcW w:w="630" w:type="dxa"/>
            <w:tcBorders>
              <w:top w:val="single" w:sz="8" w:space="0" w:color="404040" w:themeColor="text1" w:themeTint="BF"/>
              <w:bottom w:val="single" w:sz="8" w:space="0" w:color="404040" w:themeColor="text1" w:themeTint="BF"/>
            </w:tcBorders>
            <w:shd w:val="clear" w:color="auto" w:fill="FFFF00"/>
            <w:vAlign w:val="center"/>
          </w:tcPr>
          <w:p w:rsidR="004A1E54" w:rsidRPr="0086786F"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Pr>
                <w:rFonts w:eastAsia="Times New Roman" w:cs="Calibri"/>
                <w:sz w:val="18"/>
                <w:szCs w:val="18"/>
              </w:rPr>
              <w:t>22.6</w:t>
            </w:r>
          </w:p>
        </w:tc>
        <w:tc>
          <w:tcPr>
            <w:tcW w:w="630" w:type="dxa"/>
            <w:tcBorders>
              <w:top w:val="single" w:sz="8" w:space="0" w:color="404040" w:themeColor="text1" w:themeTint="BF"/>
              <w:bottom w:val="single" w:sz="8" w:space="0" w:color="404040" w:themeColor="text1" w:themeTint="BF"/>
            </w:tcBorders>
            <w:shd w:val="clear" w:color="auto" w:fill="FFFF00"/>
            <w:vAlign w:val="center"/>
          </w:tcPr>
          <w:p w:rsidR="004A1E54" w:rsidRPr="0086786F"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Pr>
                <w:rFonts w:eastAsia="Times New Roman" w:cs="Calibri"/>
                <w:sz w:val="18"/>
                <w:szCs w:val="18"/>
              </w:rPr>
              <w:t>28.4</w:t>
            </w:r>
          </w:p>
        </w:tc>
        <w:tc>
          <w:tcPr>
            <w:tcW w:w="630" w:type="dxa"/>
            <w:tcBorders>
              <w:top w:val="single" w:sz="8" w:space="0" w:color="404040" w:themeColor="text1" w:themeTint="BF"/>
              <w:bottom w:val="single" w:sz="8" w:space="0" w:color="404040" w:themeColor="text1" w:themeTint="BF"/>
            </w:tcBorders>
            <w:shd w:val="clear" w:color="auto" w:fill="FFFF00"/>
            <w:vAlign w:val="center"/>
          </w:tcPr>
          <w:p w:rsidR="004A1E54" w:rsidRPr="0086786F"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Pr>
                <w:rFonts w:eastAsia="Times New Roman" w:cs="Calibri"/>
                <w:sz w:val="18"/>
                <w:szCs w:val="18"/>
              </w:rPr>
              <w:t>2.0</w:t>
            </w:r>
          </w:p>
        </w:tc>
        <w:tc>
          <w:tcPr>
            <w:tcW w:w="630" w:type="dxa"/>
            <w:tcBorders>
              <w:top w:val="single" w:sz="8" w:space="0" w:color="404040" w:themeColor="text1" w:themeTint="BF"/>
              <w:bottom w:val="single" w:sz="8" w:space="0" w:color="404040" w:themeColor="text1" w:themeTint="BF"/>
            </w:tcBorders>
            <w:shd w:val="clear" w:color="auto" w:fill="FFFF00"/>
            <w:vAlign w:val="center"/>
          </w:tcPr>
          <w:p w:rsidR="004A1E54" w:rsidRPr="0086786F"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Pr>
                <w:rFonts w:eastAsia="Times New Roman" w:cs="Calibri"/>
                <w:sz w:val="18"/>
                <w:szCs w:val="18"/>
              </w:rPr>
              <w:t>5.8</w:t>
            </w:r>
          </w:p>
        </w:tc>
        <w:tc>
          <w:tcPr>
            <w:tcW w:w="630" w:type="dxa"/>
            <w:tcBorders>
              <w:top w:val="single" w:sz="8" w:space="0" w:color="404040" w:themeColor="text1" w:themeTint="BF"/>
              <w:bottom w:val="single" w:sz="8" w:space="0" w:color="404040" w:themeColor="text1" w:themeTint="BF"/>
            </w:tcBorders>
            <w:shd w:val="clear" w:color="auto" w:fill="FFFF00"/>
            <w:vAlign w:val="center"/>
          </w:tcPr>
          <w:p w:rsidR="004A1E54" w:rsidRPr="0086786F"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Pr>
                <w:rFonts w:eastAsia="Times New Roman" w:cs="Calibri"/>
                <w:sz w:val="18"/>
                <w:szCs w:val="18"/>
              </w:rPr>
              <w:t>12.0</w:t>
            </w:r>
          </w:p>
        </w:tc>
        <w:tc>
          <w:tcPr>
            <w:tcW w:w="630" w:type="dxa"/>
            <w:tcBorders>
              <w:top w:val="single" w:sz="8" w:space="0" w:color="404040" w:themeColor="text1" w:themeTint="BF"/>
              <w:bottom w:val="single" w:sz="8" w:space="0" w:color="404040" w:themeColor="text1" w:themeTint="BF"/>
            </w:tcBorders>
            <w:shd w:val="clear" w:color="auto" w:fill="FFFF00"/>
            <w:vAlign w:val="center"/>
          </w:tcPr>
          <w:p w:rsidR="004A1E54" w:rsidRPr="0086786F"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Pr>
                <w:rFonts w:eastAsia="Times New Roman" w:cs="Calibri"/>
                <w:sz w:val="18"/>
                <w:szCs w:val="18"/>
              </w:rPr>
              <w:t>16.0</w:t>
            </w:r>
          </w:p>
        </w:tc>
        <w:tc>
          <w:tcPr>
            <w:tcW w:w="630" w:type="dxa"/>
            <w:tcBorders>
              <w:top w:val="single" w:sz="8" w:space="0" w:color="404040" w:themeColor="text1" w:themeTint="BF"/>
              <w:bottom w:val="single" w:sz="8" w:space="0" w:color="404040" w:themeColor="text1" w:themeTint="BF"/>
            </w:tcBorders>
            <w:shd w:val="clear" w:color="auto" w:fill="FFFF00"/>
            <w:vAlign w:val="center"/>
          </w:tcPr>
          <w:p w:rsidR="004A1E54" w:rsidRPr="0086786F"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Pr>
                <w:rFonts w:eastAsia="Times New Roman" w:cs="Calibri"/>
                <w:sz w:val="18"/>
                <w:szCs w:val="18"/>
              </w:rPr>
              <w:t>16.8</w:t>
            </w:r>
          </w:p>
        </w:tc>
        <w:tc>
          <w:tcPr>
            <w:tcW w:w="630" w:type="dxa"/>
            <w:tcBorders>
              <w:top w:val="single" w:sz="8" w:space="0" w:color="404040" w:themeColor="text1" w:themeTint="BF"/>
              <w:bottom w:val="single" w:sz="8" w:space="0" w:color="404040" w:themeColor="text1" w:themeTint="BF"/>
            </w:tcBorders>
            <w:shd w:val="clear" w:color="auto" w:fill="FFFF00"/>
            <w:vAlign w:val="center"/>
          </w:tcPr>
          <w:p w:rsidR="004A1E54" w:rsidRPr="0086786F"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Pr>
                <w:rFonts w:eastAsia="Times New Roman" w:cs="Calibri"/>
                <w:sz w:val="18"/>
                <w:szCs w:val="18"/>
              </w:rPr>
              <w:t>14.7</w:t>
            </w:r>
          </w:p>
        </w:tc>
        <w:tc>
          <w:tcPr>
            <w:tcW w:w="630" w:type="dxa"/>
            <w:tcBorders>
              <w:top w:val="single" w:sz="8" w:space="0" w:color="404040" w:themeColor="text1" w:themeTint="BF"/>
              <w:bottom w:val="single" w:sz="8" w:space="0" w:color="404040" w:themeColor="text1" w:themeTint="BF"/>
            </w:tcBorders>
            <w:shd w:val="clear" w:color="auto" w:fill="FFFF00"/>
            <w:vAlign w:val="center"/>
          </w:tcPr>
          <w:p w:rsidR="004A1E54" w:rsidRPr="0086786F"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Pr>
                <w:rFonts w:eastAsia="Times New Roman" w:cs="Calibri"/>
                <w:sz w:val="18"/>
                <w:szCs w:val="18"/>
              </w:rPr>
              <w:t>16.4</w:t>
            </w:r>
          </w:p>
        </w:tc>
        <w:tc>
          <w:tcPr>
            <w:tcW w:w="630" w:type="dxa"/>
            <w:tcBorders>
              <w:top w:val="single" w:sz="8" w:space="0" w:color="404040" w:themeColor="text1" w:themeTint="BF"/>
              <w:bottom w:val="single" w:sz="8" w:space="0" w:color="404040" w:themeColor="text1" w:themeTint="BF"/>
            </w:tcBorders>
            <w:shd w:val="clear" w:color="auto" w:fill="FFFF00"/>
            <w:vAlign w:val="center"/>
          </w:tcPr>
          <w:p w:rsidR="004A1E54" w:rsidRPr="0086786F"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Pr>
                <w:rFonts w:eastAsia="Times New Roman" w:cs="Calibri"/>
                <w:sz w:val="18"/>
                <w:szCs w:val="18"/>
              </w:rPr>
              <w:t>15.4</w:t>
            </w:r>
          </w:p>
        </w:tc>
        <w:tc>
          <w:tcPr>
            <w:tcW w:w="630" w:type="dxa"/>
            <w:tcBorders>
              <w:top w:val="single" w:sz="8" w:space="0" w:color="404040" w:themeColor="text1" w:themeTint="BF"/>
              <w:bottom w:val="single" w:sz="8" w:space="0" w:color="404040" w:themeColor="text1" w:themeTint="BF"/>
            </w:tcBorders>
            <w:shd w:val="clear" w:color="auto" w:fill="FFFF00"/>
            <w:vAlign w:val="center"/>
          </w:tcPr>
          <w:p w:rsidR="004A1E54" w:rsidRPr="0086786F"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Pr>
                <w:rFonts w:eastAsia="Times New Roman" w:cs="Calibri"/>
                <w:sz w:val="18"/>
                <w:szCs w:val="18"/>
              </w:rPr>
              <w:t>0.9</w:t>
            </w:r>
          </w:p>
        </w:tc>
        <w:tc>
          <w:tcPr>
            <w:tcW w:w="630" w:type="dxa"/>
            <w:tcBorders>
              <w:top w:val="single" w:sz="8" w:space="0" w:color="404040" w:themeColor="text1" w:themeTint="BF"/>
              <w:bottom w:val="single" w:sz="8" w:space="0" w:color="404040" w:themeColor="text1" w:themeTint="BF"/>
            </w:tcBorders>
            <w:shd w:val="clear" w:color="auto" w:fill="FFFF00"/>
            <w:vAlign w:val="center"/>
          </w:tcPr>
          <w:p w:rsidR="004A1E54" w:rsidRPr="0086786F"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Pr>
                <w:rFonts w:eastAsia="Times New Roman" w:cs="Calibri"/>
                <w:sz w:val="18"/>
                <w:szCs w:val="18"/>
              </w:rPr>
              <w:t>1.8</w:t>
            </w:r>
          </w:p>
        </w:tc>
        <w:tc>
          <w:tcPr>
            <w:tcW w:w="630" w:type="dxa"/>
            <w:tcBorders>
              <w:top w:val="single" w:sz="8" w:space="0" w:color="404040" w:themeColor="text1" w:themeTint="BF"/>
              <w:bottom w:val="single" w:sz="8" w:space="0" w:color="404040" w:themeColor="text1" w:themeTint="BF"/>
            </w:tcBorders>
            <w:shd w:val="clear" w:color="auto" w:fill="FFFF00"/>
            <w:vAlign w:val="center"/>
          </w:tcPr>
          <w:p w:rsidR="004A1E54" w:rsidRPr="0086786F"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Pr>
                <w:rFonts w:eastAsia="Times New Roman" w:cs="Calibri"/>
                <w:sz w:val="18"/>
                <w:szCs w:val="18"/>
              </w:rPr>
              <w:t>2.7</w:t>
            </w:r>
          </w:p>
        </w:tc>
        <w:tc>
          <w:tcPr>
            <w:tcW w:w="630" w:type="dxa"/>
            <w:tcBorders>
              <w:top w:val="single" w:sz="8" w:space="0" w:color="404040" w:themeColor="text1" w:themeTint="BF"/>
              <w:bottom w:val="single" w:sz="8" w:space="0" w:color="404040" w:themeColor="text1" w:themeTint="BF"/>
              <w:right w:val="single" w:sz="8" w:space="0" w:color="404040" w:themeColor="text1" w:themeTint="BF"/>
            </w:tcBorders>
            <w:shd w:val="clear" w:color="auto" w:fill="FFFF00"/>
            <w:vAlign w:val="center"/>
          </w:tcPr>
          <w:p w:rsidR="004A1E54" w:rsidRPr="0086786F" w:rsidRDefault="004A1E5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Pr>
                <w:rFonts w:eastAsia="Times New Roman" w:cs="Calibri"/>
                <w:sz w:val="18"/>
                <w:szCs w:val="18"/>
              </w:rPr>
              <w:t>5.2</w:t>
            </w:r>
          </w:p>
        </w:tc>
      </w:tr>
      <w:tr w:rsidR="004A1E54" w:rsidRPr="003C5252" w:rsidTr="001237B1">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11340" w:type="dxa"/>
            <w:gridSpan w:val="17"/>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noWrap/>
            <w:hideMark/>
          </w:tcPr>
          <w:p w:rsidR="004A1E54" w:rsidRDefault="004A1E54" w:rsidP="001237B1">
            <w:pPr>
              <w:jc w:val="center"/>
              <w:rPr>
                <w:rFonts w:eastAsia="Times New Roman" w:cs="Calibri"/>
                <w:color w:val="000000"/>
              </w:rPr>
            </w:pPr>
            <w:r w:rsidRPr="003C5252">
              <w:rPr>
                <w:rFonts w:eastAsia="Times New Roman" w:cs="Calibri"/>
                <w:color w:val="000000"/>
              </w:rPr>
              <w:t xml:space="preserve">Source: </w:t>
            </w:r>
            <w:r w:rsidRPr="003C5252">
              <w:rPr>
                <w:rFonts w:eastAsia="Times New Roman" w:cs="Calibri"/>
              </w:rPr>
              <w:t xml:space="preserve">2010* and 2014 </w:t>
            </w:r>
            <w:r w:rsidRPr="003C5252">
              <w:rPr>
                <w:rFonts w:eastAsia="Times New Roman" w:cs="Calibri"/>
                <w:color w:val="000000"/>
              </w:rPr>
              <w:t>Oklahoma Prevention Needs Assessment (OPNA) – all values are percentages</w:t>
            </w:r>
          </w:p>
          <w:p w:rsidR="004A1E54" w:rsidRPr="003C5252" w:rsidRDefault="004A1E54" w:rsidP="001237B1">
            <w:pPr>
              <w:jc w:val="center"/>
              <w:rPr>
                <w:rFonts w:eastAsia="Times New Roman" w:cs="Calibri"/>
                <w:color w:val="000000"/>
              </w:rPr>
            </w:pPr>
            <w:r>
              <w:rPr>
                <w:rFonts w:eastAsia="Times New Roman" w:cs="Calibri"/>
                <w:color w:val="000000"/>
              </w:rPr>
              <w:t xml:space="preserve">Source: Highlighted State/Counties participated in 2016 </w:t>
            </w:r>
            <w:r w:rsidRPr="00A13714">
              <w:rPr>
                <w:rFonts w:eastAsia="Times New Roman" w:cs="Calibri"/>
                <w:color w:val="000000"/>
              </w:rPr>
              <w:t>Oklahoma Prevention Needs Assessment (OPNA) – all values are percentages</w:t>
            </w:r>
          </w:p>
        </w:tc>
      </w:tr>
    </w:tbl>
    <w:p w:rsidR="00A00D33" w:rsidRDefault="00A00D33" w:rsidP="001B70B4">
      <w:pPr>
        <w:widowControl w:val="0"/>
        <w:rPr>
          <w:rFonts w:ascii="Calibri" w:hAnsi="Calibri" w:cs="Calibri"/>
          <w:sz w:val="24"/>
          <w:szCs w:val="24"/>
        </w:rPr>
      </w:pPr>
    </w:p>
    <w:p w:rsidR="00803CE0" w:rsidRPr="003C5252" w:rsidRDefault="001B70B4" w:rsidP="006E46A4">
      <w:pPr>
        <w:widowControl w:val="0"/>
        <w:jc w:val="both"/>
        <w:rPr>
          <w:rFonts w:ascii="Calibri" w:hAnsi="Calibri" w:cs="Calibri"/>
          <w:sz w:val="24"/>
          <w:szCs w:val="24"/>
        </w:rPr>
      </w:pPr>
      <w:r w:rsidRPr="003C5252">
        <w:rPr>
          <w:rFonts w:ascii="Calibri" w:hAnsi="Calibri" w:cs="Calibri"/>
          <w:sz w:val="24"/>
          <w:szCs w:val="24"/>
        </w:rPr>
        <w:t>Consumption patterns give an indication of the amount of alcohol being consumed.  The consumption of alcohol has a direct association with the consequences related to the alcohol consequences listed in Table 6.  The data listed in Table 4 are representative of a bi-annual prevention survey administered to each individual school district.  The Oklahoma Prevention Needs Assessment (OPNA) asks questions about current use regarding alcohol, illicit drugs, and nonmedical prescription drug use to assess consumption patterns.  For Region 10 we have data</w:t>
      </w:r>
      <w:r w:rsidR="001237B1">
        <w:rPr>
          <w:rFonts w:ascii="Calibri" w:hAnsi="Calibri" w:cs="Calibri"/>
          <w:sz w:val="24"/>
          <w:szCs w:val="24"/>
        </w:rPr>
        <w:t xml:space="preserve"> from the years, 2010, 2012,</w:t>
      </w:r>
      <w:r w:rsidRPr="003C5252">
        <w:rPr>
          <w:rFonts w:ascii="Calibri" w:hAnsi="Calibri" w:cs="Calibri"/>
          <w:sz w:val="24"/>
          <w:szCs w:val="24"/>
        </w:rPr>
        <w:t xml:space="preserve"> 2014</w:t>
      </w:r>
      <w:r w:rsidR="001237B1">
        <w:rPr>
          <w:rFonts w:ascii="Calibri" w:hAnsi="Calibri" w:cs="Calibri"/>
          <w:sz w:val="24"/>
          <w:szCs w:val="24"/>
        </w:rPr>
        <w:t xml:space="preserve"> and </w:t>
      </w:r>
      <w:r w:rsidR="001237B1" w:rsidRPr="006E46A4">
        <w:rPr>
          <w:rFonts w:ascii="Calibri" w:hAnsi="Calibri" w:cs="Calibri"/>
          <w:sz w:val="24"/>
          <w:szCs w:val="24"/>
        </w:rPr>
        <w:t>2016</w:t>
      </w:r>
      <w:r w:rsidRPr="003C5252">
        <w:rPr>
          <w:rFonts w:ascii="Calibri" w:hAnsi="Calibri" w:cs="Calibri"/>
          <w:sz w:val="24"/>
          <w:szCs w:val="24"/>
        </w:rPr>
        <w:t>.  However, we have insufficient data points for all counties on all years therefore making it difficult to identify tren</w:t>
      </w:r>
      <w:r w:rsidR="001237B1">
        <w:rPr>
          <w:rFonts w:ascii="Calibri" w:hAnsi="Calibri" w:cs="Calibri"/>
          <w:sz w:val="24"/>
          <w:szCs w:val="24"/>
        </w:rPr>
        <w:t xml:space="preserve">ds. </w:t>
      </w:r>
      <w:r w:rsidR="00803CE0" w:rsidRPr="006E46A4">
        <w:rPr>
          <w:rFonts w:ascii="Calibri" w:hAnsi="Calibri" w:cs="Calibri"/>
          <w:sz w:val="24"/>
          <w:szCs w:val="24"/>
        </w:rPr>
        <w:t xml:space="preserve">Highlighted </w:t>
      </w:r>
      <w:r w:rsidR="006E46A4" w:rsidRPr="006E46A4">
        <w:rPr>
          <w:rFonts w:ascii="Calibri" w:hAnsi="Calibri" w:cs="Calibri"/>
          <w:sz w:val="24"/>
          <w:szCs w:val="24"/>
        </w:rPr>
        <w:t xml:space="preserve">state and </w:t>
      </w:r>
      <w:r w:rsidR="00803CE0" w:rsidRPr="006E46A4">
        <w:rPr>
          <w:rFonts w:ascii="Calibri" w:hAnsi="Calibri" w:cs="Calibri"/>
          <w:sz w:val="24"/>
          <w:szCs w:val="24"/>
        </w:rPr>
        <w:t>counties participated in the 2016 OPNA.</w:t>
      </w:r>
      <w:r w:rsidR="00803CE0">
        <w:rPr>
          <w:rFonts w:ascii="Calibri" w:hAnsi="Calibri" w:cs="Calibri"/>
          <w:sz w:val="24"/>
          <w:szCs w:val="24"/>
        </w:rPr>
        <w:t xml:space="preserve">  </w:t>
      </w:r>
      <w:r w:rsidR="001237B1">
        <w:rPr>
          <w:rFonts w:ascii="Calibri" w:hAnsi="Calibri" w:cs="Calibri"/>
          <w:sz w:val="24"/>
          <w:szCs w:val="24"/>
        </w:rPr>
        <w:t>Participation in the 2010,</w:t>
      </w:r>
      <w:r>
        <w:rPr>
          <w:rFonts w:ascii="Calibri" w:hAnsi="Calibri" w:cs="Calibri"/>
          <w:sz w:val="24"/>
          <w:szCs w:val="24"/>
        </w:rPr>
        <w:t xml:space="preserve"> 2014 </w:t>
      </w:r>
      <w:r w:rsidR="001237B1">
        <w:rPr>
          <w:rFonts w:ascii="Calibri" w:hAnsi="Calibri" w:cs="Calibri"/>
          <w:sz w:val="24"/>
          <w:szCs w:val="24"/>
        </w:rPr>
        <w:t xml:space="preserve">and </w:t>
      </w:r>
      <w:r w:rsidR="001237B1" w:rsidRPr="006E46A4">
        <w:rPr>
          <w:rFonts w:ascii="Calibri" w:hAnsi="Calibri" w:cs="Calibri"/>
          <w:sz w:val="24"/>
          <w:szCs w:val="24"/>
        </w:rPr>
        <w:t>2016</w:t>
      </w:r>
      <w:r w:rsidR="001237B1">
        <w:rPr>
          <w:rFonts w:ascii="Calibri" w:hAnsi="Calibri" w:cs="Calibri"/>
          <w:sz w:val="24"/>
          <w:szCs w:val="24"/>
        </w:rPr>
        <w:t xml:space="preserve"> </w:t>
      </w:r>
      <w:r>
        <w:rPr>
          <w:rFonts w:ascii="Calibri" w:hAnsi="Calibri" w:cs="Calibri"/>
          <w:sz w:val="24"/>
          <w:szCs w:val="24"/>
        </w:rPr>
        <w:t>OPNA is described below:</w:t>
      </w:r>
    </w:p>
    <w:tbl>
      <w:tblPr>
        <w:tblStyle w:val="TableGrid1"/>
        <w:tblW w:w="0" w:type="auto"/>
        <w:jc w:val="center"/>
        <w:tblLook w:val="04A0" w:firstRow="1" w:lastRow="0" w:firstColumn="1" w:lastColumn="0" w:noHBand="0" w:noVBand="1"/>
      </w:tblPr>
      <w:tblGrid>
        <w:gridCol w:w="1232"/>
        <w:gridCol w:w="1251"/>
        <w:gridCol w:w="1243"/>
        <w:gridCol w:w="1243"/>
        <w:gridCol w:w="1243"/>
        <w:gridCol w:w="1243"/>
      </w:tblGrid>
      <w:tr w:rsidR="001B70B4" w:rsidRPr="003C5252" w:rsidTr="001237B1">
        <w:trPr>
          <w:trHeight w:val="197"/>
          <w:jc w:val="center"/>
        </w:trPr>
        <w:tc>
          <w:tcPr>
            <w:tcW w:w="1232" w:type="dxa"/>
          </w:tcPr>
          <w:p w:rsidR="001B70B4" w:rsidRPr="000E3A78" w:rsidRDefault="001B70B4" w:rsidP="001237B1">
            <w:pPr>
              <w:widowControl w:val="0"/>
              <w:jc w:val="center"/>
              <w:rPr>
                <w:rFonts w:cs="Calibri"/>
                <w:b/>
                <w:sz w:val="23"/>
                <w:szCs w:val="23"/>
              </w:rPr>
            </w:pPr>
            <w:r w:rsidRPr="000E3A78">
              <w:rPr>
                <w:rFonts w:cs="Calibri"/>
                <w:b/>
                <w:sz w:val="23"/>
                <w:szCs w:val="23"/>
              </w:rPr>
              <w:t>County</w:t>
            </w:r>
          </w:p>
        </w:tc>
        <w:tc>
          <w:tcPr>
            <w:tcW w:w="1251" w:type="dxa"/>
          </w:tcPr>
          <w:p w:rsidR="001B70B4" w:rsidRPr="000E3A78" w:rsidRDefault="001B70B4" w:rsidP="001237B1">
            <w:pPr>
              <w:widowControl w:val="0"/>
              <w:jc w:val="center"/>
              <w:rPr>
                <w:rFonts w:cs="Calibri"/>
                <w:b/>
                <w:sz w:val="23"/>
                <w:szCs w:val="23"/>
              </w:rPr>
            </w:pPr>
            <w:r w:rsidRPr="000E3A78">
              <w:rPr>
                <w:rFonts w:cs="Calibri"/>
                <w:b/>
                <w:sz w:val="23"/>
                <w:szCs w:val="23"/>
              </w:rPr>
              <w:t>6</w:t>
            </w:r>
            <w:r w:rsidRPr="000E3A78">
              <w:rPr>
                <w:rFonts w:cs="Calibri"/>
                <w:b/>
                <w:sz w:val="23"/>
                <w:szCs w:val="23"/>
                <w:vertAlign w:val="superscript"/>
              </w:rPr>
              <w:t>th</w:t>
            </w:r>
            <w:r w:rsidRPr="000E3A78">
              <w:rPr>
                <w:rFonts w:cs="Calibri"/>
                <w:b/>
                <w:sz w:val="23"/>
                <w:szCs w:val="23"/>
              </w:rPr>
              <w:t xml:space="preserve"> Grade</w:t>
            </w:r>
          </w:p>
        </w:tc>
        <w:tc>
          <w:tcPr>
            <w:tcW w:w="1243" w:type="dxa"/>
          </w:tcPr>
          <w:p w:rsidR="001B70B4" w:rsidRPr="000E3A78" w:rsidRDefault="001B70B4" w:rsidP="001237B1">
            <w:pPr>
              <w:widowControl w:val="0"/>
              <w:jc w:val="center"/>
              <w:rPr>
                <w:rFonts w:cs="Calibri"/>
                <w:b/>
                <w:sz w:val="23"/>
                <w:szCs w:val="23"/>
              </w:rPr>
            </w:pPr>
            <w:r w:rsidRPr="000E3A78">
              <w:rPr>
                <w:rFonts w:cs="Calibri"/>
                <w:b/>
                <w:sz w:val="23"/>
                <w:szCs w:val="23"/>
              </w:rPr>
              <w:t>8</w:t>
            </w:r>
            <w:r w:rsidRPr="000E3A78">
              <w:rPr>
                <w:rFonts w:cs="Calibri"/>
                <w:b/>
                <w:sz w:val="23"/>
                <w:szCs w:val="23"/>
                <w:vertAlign w:val="superscript"/>
              </w:rPr>
              <w:t>th</w:t>
            </w:r>
            <w:r w:rsidRPr="000E3A78">
              <w:rPr>
                <w:rFonts w:cs="Calibri"/>
                <w:b/>
                <w:sz w:val="23"/>
                <w:szCs w:val="23"/>
              </w:rPr>
              <w:t xml:space="preserve"> Grade</w:t>
            </w:r>
          </w:p>
        </w:tc>
        <w:tc>
          <w:tcPr>
            <w:tcW w:w="1243" w:type="dxa"/>
          </w:tcPr>
          <w:p w:rsidR="001B70B4" w:rsidRPr="000E3A78" w:rsidRDefault="001B70B4" w:rsidP="001237B1">
            <w:pPr>
              <w:widowControl w:val="0"/>
              <w:jc w:val="center"/>
              <w:rPr>
                <w:rFonts w:cs="Calibri"/>
                <w:b/>
                <w:sz w:val="23"/>
                <w:szCs w:val="23"/>
              </w:rPr>
            </w:pPr>
            <w:r w:rsidRPr="000E3A78">
              <w:rPr>
                <w:rFonts w:cs="Calibri"/>
                <w:b/>
                <w:sz w:val="23"/>
                <w:szCs w:val="23"/>
              </w:rPr>
              <w:t>10</w:t>
            </w:r>
            <w:r w:rsidRPr="000E3A78">
              <w:rPr>
                <w:rFonts w:cs="Calibri"/>
                <w:b/>
                <w:sz w:val="23"/>
                <w:szCs w:val="23"/>
                <w:vertAlign w:val="superscript"/>
              </w:rPr>
              <w:t>th</w:t>
            </w:r>
            <w:r w:rsidRPr="000E3A78">
              <w:rPr>
                <w:rFonts w:cs="Calibri"/>
                <w:b/>
                <w:sz w:val="23"/>
                <w:szCs w:val="23"/>
              </w:rPr>
              <w:t xml:space="preserve"> Grade</w:t>
            </w:r>
          </w:p>
        </w:tc>
        <w:tc>
          <w:tcPr>
            <w:tcW w:w="1243" w:type="dxa"/>
          </w:tcPr>
          <w:p w:rsidR="001B70B4" w:rsidRPr="000E3A78" w:rsidRDefault="001B70B4" w:rsidP="001237B1">
            <w:pPr>
              <w:widowControl w:val="0"/>
              <w:jc w:val="center"/>
              <w:rPr>
                <w:rFonts w:cs="Calibri"/>
                <w:b/>
                <w:sz w:val="23"/>
                <w:szCs w:val="23"/>
              </w:rPr>
            </w:pPr>
            <w:r w:rsidRPr="000E3A78">
              <w:rPr>
                <w:rFonts w:cs="Calibri"/>
                <w:b/>
                <w:sz w:val="23"/>
                <w:szCs w:val="23"/>
              </w:rPr>
              <w:t>12</w:t>
            </w:r>
            <w:r w:rsidRPr="000E3A78">
              <w:rPr>
                <w:rFonts w:cs="Calibri"/>
                <w:b/>
                <w:sz w:val="23"/>
                <w:szCs w:val="23"/>
                <w:vertAlign w:val="superscript"/>
              </w:rPr>
              <w:t>th</w:t>
            </w:r>
            <w:r w:rsidRPr="000E3A78">
              <w:rPr>
                <w:rFonts w:cs="Calibri"/>
                <w:b/>
                <w:sz w:val="23"/>
                <w:szCs w:val="23"/>
              </w:rPr>
              <w:t xml:space="preserve"> Grade</w:t>
            </w:r>
          </w:p>
        </w:tc>
        <w:tc>
          <w:tcPr>
            <w:tcW w:w="1243" w:type="dxa"/>
          </w:tcPr>
          <w:p w:rsidR="001B70B4" w:rsidRPr="000E3A78" w:rsidRDefault="001B70B4" w:rsidP="001237B1">
            <w:pPr>
              <w:widowControl w:val="0"/>
              <w:jc w:val="center"/>
              <w:rPr>
                <w:rFonts w:cs="Calibri"/>
                <w:b/>
                <w:sz w:val="23"/>
                <w:szCs w:val="23"/>
              </w:rPr>
            </w:pPr>
            <w:r w:rsidRPr="000E3A78">
              <w:rPr>
                <w:rFonts w:cs="Calibri"/>
                <w:b/>
                <w:sz w:val="23"/>
                <w:szCs w:val="23"/>
              </w:rPr>
              <w:t>Total</w:t>
            </w:r>
          </w:p>
        </w:tc>
      </w:tr>
      <w:tr w:rsidR="001237B1" w:rsidRPr="003C5252" w:rsidTr="001237B1">
        <w:trPr>
          <w:trHeight w:val="197"/>
          <w:jc w:val="center"/>
        </w:trPr>
        <w:tc>
          <w:tcPr>
            <w:tcW w:w="1232" w:type="dxa"/>
            <w:shd w:val="clear" w:color="auto" w:fill="FFFF00"/>
          </w:tcPr>
          <w:p w:rsidR="001237B1" w:rsidRPr="0030408A" w:rsidRDefault="001237B1" w:rsidP="001237B1">
            <w:pPr>
              <w:widowControl w:val="0"/>
              <w:rPr>
                <w:rFonts w:cs="Calibri"/>
                <w:sz w:val="23"/>
                <w:szCs w:val="23"/>
              </w:rPr>
            </w:pPr>
            <w:r w:rsidRPr="0030408A">
              <w:rPr>
                <w:rFonts w:cs="Calibri"/>
                <w:sz w:val="23"/>
                <w:szCs w:val="23"/>
              </w:rPr>
              <w:t>Bryan</w:t>
            </w:r>
          </w:p>
        </w:tc>
        <w:tc>
          <w:tcPr>
            <w:tcW w:w="1251" w:type="dxa"/>
            <w:shd w:val="clear" w:color="auto" w:fill="FFFF00"/>
          </w:tcPr>
          <w:p w:rsidR="001237B1" w:rsidRPr="0030408A" w:rsidRDefault="001237B1" w:rsidP="001237B1">
            <w:pPr>
              <w:widowControl w:val="0"/>
              <w:jc w:val="center"/>
              <w:rPr>
                <w:rFonts w:cs="Calibri"/>
                <w:sz w:val="23"/>
                <w:szCs w:val="23"/>
              </w:rPr>
            </w:pPr>
            <w:r w:rsidRPr="0030408A">
              <w:rPr>
                <w:rFonts w:cs="Calibri"/>
                <w:sz w:val="23"/>
                <w:szCs w:val="23"/>
              </w:rPr>
              <w:t>32.1%</w:t>
            </w:r>
          </w:p>
        </w:tc>
        <w:tc>
          <w:tcPr>
            <w:tcW w:w="1243" w:type="dxa"/>
            <w:shd w:val="clear" w:color="auto" w:fill="FFFF00"/>
          </w:tcPr>
          <w:p w:rsidR="001237B1" w:rsidRPr="0030408A" w:rsidRDefault="001237B1" w:rsidP="001237B1">
            <w:pPr>
              <w:widowControl w:val="0"/>
              <w:jc w:val="center"/>
              <w:rPr>
                <w:rFonts w:cs="Calibri"/>
                <w:sz w:val="23"/>
                <w:szCs w:val="23"/>
              </w:rPr>
            </w:pPr>
            <w:r w:rsidRPr="0030408A">
              <w:rPr>
                <w:rFonts w:cs="Calibri"/>
                <w:sz w:val="23"/>
                <w:szCs w:val="23"/>
              </w:rPr>
              <w:t>27.6%</w:t>
            </w:r>
          </w:p>
        </w:tc>
        <w:tc>
          <w:tcPr>
            <w:tcW w:w="1243" w:type="dxa"/>
            <w:shd w:val="clear" w:color="auto" w:fill="FFFF00"/>
          </w:tcPr>
          <w:p w:rsidR="001237B1" w:rsidRPr="0030408A" w:rsidRDefault="001237B1" w:rsidP="001237B1">
            <w:pPr>
              <w:widowControl w:val="0"/>
              <w:jc w:val="center"/>
              <w:rPr>
                <w:rFonts w:cs="Calibri"/>
                <w:sz w:val="23"/>
                <w:szCs w:val="23"/>
              </w:rPr>
            </w:pPr>
            <w:r w:rsidRPr="0030408A">
              <w:rPr>
                <w:rFonts w:cs="Calibri"/>
                <w:sz w:val="23"/>
                <w:szCs w:val="23"/>
              </w:rPr>
              <w:t>21.2%</w:t>
            </w:r>
          </w:p>
        </w:tc>
        <w:tc>
          <w:tcPr>
            <w:tcW w:w="1243" w:type="dxa"/>
            <w:shd w:val="clear" w:color="auto" w:fill="FFFF00"/>
          </w:tcPr>
          <w:p w:rsidR="001237B1" w:rsidRPr="0030408A" w:rsidRDefault="001237B1" w:rsidP="001237B1">
            <w:pPr>
              <w:widowControl w:val="0"/>
              <w:jc w:val="center"/>
              <w:rPr>
                <w:rFonts w:cs="Calibri"/>
                <w:sz w:val="23"/>
                <w:szCs w:val="23"/>
              </w:rPr>
            </w:pPr>
            <w:r w:rsidRPr="0030408A">
              <w:rPr>
                <w:rFonts w:cs="Calibri"/>
                <w:sz w:val="23"/>
                <w:szCs w:val="23"/>
              </w:rPr>
              <w:t>25.5%</w:t>
            </w:r>
          </w:p>
        </w:tc>
        <w:tc>
          <w:tcPr>
            <w:tcW w:w="1243" w:type="dxa"/>
            <w:shd w:val="clear" w:color="auto" w:fill="FFFF00"/>
          </w:tcPr>
          <w:p w:rsidR="001237B1" w:rsidRPr="0030408A" w:rsidRDefault="001237B1" w:rsidP="001237B1">
            <w:pPr>
              <w:widowControl w:val="0"/>
              <w:jc w:val="center"/>
              <w:rPr>
                <w:rFonts w:cs="Calibri"/>
                <w:sz w:val="23"/>
                <w:szCs w:val="23"/>
              </w:rPr>
            </w:pPr>
            <w:r w:rsidRPr="0030408A">
              <w:rPr>
                <w:rFonts w:cs="Calibri"/>
                <w:sz w:val="23"/>
                <w:szCs w:val="23"/>
              </w:rPr>
              <w:t>26.6%</w:t>
            </w:r>
          </w:p>
        </w:tc>
      </w:tr>
      <w:tr w:rsidR="001237B1" w:rsidRPr="003C5252" w:rsidTr="001237B1">
        <w:trPr>
          <w:trHeight w:val="197"/>
          <w:jc w:val="center"/>
        </w:trPr>
        <w:tc>
          <w:tcPr>
            <w:tcW w:w="1232" w:type="dxa"/>
            <w:shd w:val="clear" w:color="auto" w:fill="FFFF00"/>
          </w:tcPr>
          <w:p w:rsidR="001237B1" w:rsidRPr="0030408A" w:rsidRDefault="001237B1" w:rsidP="001237B1">
            <w:pPr>
              <w:widowControl w:val="0"/>
              <w:rPr>
                <w:rFonts w:cs="Calibri"/>
                <w:sz w:val="23"/>
                <w:szCs w:val="23"/>
              </w:rPr>
            </w:pPr>
            <w:r w:rsidRPr="0030408A">
              <w:rPr>
                <w:rFonts w:cs="Calibri"/>
                <w:sz w:val="23"/>
                <w:szCs w:val="23"/>
              </w:rPr>
              <w:t>Carter</w:t>
            </w:r>
          </w:p>
        </w:tc>
        <w:tc>
          <w:tcPr>
            <w:tcW w:w="1251" w:type="dxa"/>
            <w:shd w:val="clear" w:color="auto" w:fill="FFFF00"/>
          </w:tcPr>
          <w:p w:rsidR="001237B1" w:rsidRPr="0030408A" w:rsidRDefault="001237B1" w:rsidP="001237B1">
            <w:pPr>
              <w:widowControl w:val="0"/>
              <w:jc w:val="center"/>
              <w:rPr>
                <w:rFonts w:cs="Calibri"/>
                <w:sz w:val="23"/>
                <w:szCs w:val="23"/>
              </w:rPr>
            </w:pPr>
            <w:r w:rsidRPr="0030408A">
              <w:rPr>
                <w:rFonts w:cs="Calibri"/>
                <w:sz w:val="23"/>
                <w:szCs w:val="23"/>
              </w:rPr>
              <w:t>40.2%</w:t>
            </w:r>
          </w:p>
        </w:tc>
        <w:tc>
          <w:tcPr>
            <w:tcW w:w="1243" w:type="dxa"/>
            <w:shd w:val="clear" w:color="auto" w:fill="FFFF00"/>
          </w:tcPr>
          <w:p w:rsidR="001237B1" w:rsidRPr="0030408A" w:rsidRDefault="001237B1" w:rsidP="001237B1">
            <w:pPr>
              <w:widowControl w:val="0"/>
              <w:jc w:val="center"/>
              <w:rPr>
                <w:rFonts w:cs="Calibri"/>
                <w:sz w:val="23"/>
                <w:szCs w:val="23"/>
              </w:rPr>
            </w:pPr>
            <w:r w:rsidRPr="0030408A">
              <w:rPr>
                <w:rFonts w:cs="Calibri"/>
                <w:sz w:val="23"/>
                <w:szCs w:val="23"/>
              </w:rPr>
              <w:t>39.2%</w:t>
            </w:r>
          </w:p>
        </w:tc>
        <w:tc>
          <w:tcPr>
            <w:tcW w:w="1243" w:type="dxa"/>
            <w:shd w:val="clear" w:color="auto" w:fill="FFFF00"/>
          </w:tcPr>
          <w:p w:rsidR="001237B1" w:rsidRPr="0030408A" w:rsidRDefault="001237B1" w:rsidP="001237B1">
            <w:pPr>
              <w:widowControl w:val="0"/>
              <w:jc w:val="center"/>
              <w:rPr>
                <w:rFonts w:cs="Calibri"/>
                <w:sz w:val="23"/>
                <w:szCs w:val="23"/>
              </w:rPr>
            </w:pPr>
            <w:r w:rsidRPr="0030408A">
              <w:rPr>
                <w:rFonts w:cs="Calibri"/>
                <w:sz w:val="23"/>
                <w:szCs w:val="23"/>
              </w:rPr>
              <w:t>35.7%</w:t>
            </w:r>
          </w:p>
        </w:tc>
        <w:tc>
          <w:tcPr>
            <w:tcW w:w="1243" w:type="dxa"/>
            <w:shd w:val="clear" w:color="auto" w:fill="FFFF00"/>
          </w:tcPr>
          <w:p w:rsidR="001237B1" w:rsidRPr="0030408A" w:rsidRDefault="001237B1" w:rsidP="001237B1">
            <w:pPr>
              <w:widowControl w:val="0"/>
              <w:jc w:val="center"/>
              <w:rPr>
                <w:rFonts w:cs="Calibri"/>
                <w:sz w:val="23"/>
                <w:szCs w:val="23"/>
              </w:rPr>
            </w:pPr>
            <w:r w:rsidRPr="0030408A">
              <w:rPr>
                <w:rFonts w:cs="Calibri"/>
                <w:sz w:val="23"/>
                <w:szCs w:val="23"/>
              </w:rPr>
              <w:t>25.8%</w:t>
            </w:r>
          </w:p>
        </w:tc>
        <w:tc>
          <w:tcPr>
            <w:tcW w:w="1243" w:type="dxa"/>
            <w:shd w:val="clear" w:color="auto" w:fill="FFFF00"/>
          </w:tcPr>
          <w:p w:rsidR="001237B1" w:rsidRPr="0030408A" w:rsidRDefault="001237B1" w:rsidP="001237B1">
            <w:pPr>
              <w:widowControl w:val="0"/>
              <w:jc w:val="center"/>
              <w:rPr>
                <w:rFonts w:cs="Calibri"/>
                <w:sz w:val="23"/>
                <w:szCs w:val="23"/>
              </w:rPr>
            </w:pPr>
            <w:r w:rsidRPr="0030408A">
              <w:rPr>
                <w:rFonts w:cs="Calibri"/>
                <w:sz w:val="23"/>
                <w:szCs w:val="23"/>
              </w:rPr>
              <w:t>35.6%</w:t>
            </w:r>
          </w:p>
        </w:tc>
      </w:tr>
      <w:tr w:rsidR="001237B1" w:rsidRPr="003C5252" w:rsidTr="001237B1">
        <w:trPr>
          <w:trHeight w:val="197"/>
          <w:jc w:val="center"/>
        </w:trPr>
        <w:tc>
          <w:tcPr>
            <w:tcW w:w="1232" w:type="dxa"/>
          </w:tcPr>
          <w:p w:rsidR="001237B1" w:rsidRPr="000E3A78" w:rsidRDefault="001237B1" w:rsidP="001237B1">
            <w:pPr>
              <w:widowControl w:val="0"/>
              <w:rPr>
                <w:rFonts w:cs="Calibri"/>
                <w:sz w:val="23"/>
                <w:szCs w:val="23"/>
              </w:rPr>
            </w:pPr>
            <w:r w:rsidRPr="000E3A78">
              <w:rPr>
                <w:rFonts w:cs="Calibri"/>
                <w:sz w:val="23"/>
                <w:szCs w:val="23"/>
              </w:rPr>
              <w:t>Garvin</w:t>
            </w:r>
          </w:p>
        </w:tc>
        <w:tc>
          <w:tcPr>
            <w:tcW w:w="1251" w:type="dxa"/>
          </w:tcPr>
          <w:p w:rsidR="001237B1" w:rsidRPr="000E3A78" w:rsidRDefault="001237B1" w:rsidP="001237B1">
            <w:pPr>
              <w:widowControl w:val="0"/>
              <w:jc w:val="center"/>
              <w:rPr>
                <w:rFonts w:cs="Calibri"/>
                <w:sz w:val="23"/>
                <w:szCs w:val="23"/>
              </w:rPr>
            </w:pPr>
            <w:r w:rsidRPr="000E3A78">
              <w:rPr>
                <w:rFonts w:cs="Calibri"/>
                <w:sz w:val="23"/>
                <w:szCs w:val="23"/>
              </w:rPr>
              <w:t>25.8%</w:t>
            </w:r>
          </w:p>
        </w:tc>
        <w:tc>
          <w:tcPr>
            <w:tcW w:w="1243" w:type="dxa"/>
          </w:tcPr>
          <w:p w:rsidR="001237B1" w:rsidRPr="000E3A78" w:rsidRDefault="001237B1" w:rsidP="001237B1">
            <w:pPr>
              <w:widowControl w:val="0"/>
              <w:jc w:val="center"/>
              <w:rPr>
                <w:rFonts w:cs="Calibri"/>
                <w:sz w:val="23"/>
                <w:szCs w:val="23"/>
              </w:rPr>
            </w:pPr>
            <w:r w:rsidRPr="000E3A78">
              <w:rPr>
                <w:rFonts w:cs="Calibri"/>
                <w:sz w:val="23"/>
                <w:szCs w:val="23"/>
              </w:rPr>
              <w:t>28.4%</w:t>
            </w:r>
          </w:p>
        </w:tc>
        <w:tc>
          <w:tcPr>
            <w:tcW w:w="1243" w:type="dxa"/>
          </w:tcPr>
          <w:p w:rsidR="001237B1" w:rsidRPr="000E3A78" w:rsidRDefault="001237B1" w:rsidP="001237B1">
            <w:pPr>
              <w:widowControl w:val="0"/>
              <w:jc w:val="center"/>
              <w:rPr>
                <w:rFonts w:cs="Calibri"/>
                <w:sz w:val="23"/>
                <w:szCs w:val="23"/>
              </w:rPr>
            </w:pPr>
            <w:r w:rsidRPr="000E3A78">
              <w:rPr>
                <w:rFonts w:cs="Calibri"/>
                <w:sz w:val="23"/>
                <w:szCs w:val="23"/>
              </w:rPr>
              <w:t>28.0%</w:t>
            </w:r>
          </w:p>
        </w:tc>
        <w:tc>
          <w:tcPr>
            <w:tcW w:w="1243" w:type="dxa"/>
          </w:tcPr>
          <w:p w:rsidR="001237B1" w:rsidRPr="000E3A78" w:rsidRDefault="001237B1" w:rsidP="001237B1">
            <w:pPr>
              <w:widowControl w:val="0"/>
              <w:jc w:val="center"/>
              <w:rPr>
                <w:rFonts w:cs="Calibri"/>
                <w:sz w:val="23"/>
                <w:szCs w:val="23"/>
              </w:rPr>
            </w:pPr>
            <w:r w:rsidRPr="000E3A78">
              <w:rPr>
                <w:rFonts w:cs="Calibri"/>
                <w:sz w:val="23"/>
                <w:szCs w:val="23"/>
              </w:rPr>
              <w:t>17.8%</w:t>
            </w:r>
          </w:p>
        </w:tc>
        <w:tc>
          <w:tcPr>
            <w:tcW w:w="1243" w:type="dxa"/>
          </w:tcPr>
          <w:p w:rsidR="001237B1" w:rsidRPr="000E3A78" w:rsidRDefault="001237B1" w:rsidP="001237B1">
            <w:pPr>
              <w:widowControl w:val="0"/>
              <w:jc w:val="center"/>
              <w:rPr>
                <w:rFonts w:cs="Calibri"/>
                <w:sz w:val="23"/>
                <w:szCs w:val="23"/>
              </w:rPr>
            </w:pPr>
            <w:r w:rsidRPr="000E3A78">
              <w:rPr>
                <w:rFonts w:cs="Calibri"/>
                <w:sz w:val="23"/>
                <w:szCs w:val="23"/>
              </w:rPr>
              <w:t>25.0%</w:t>
            </w:r>
          </w:p>
        </w:tc>
      </w:tr>
      <w:tr w:rsidR="001237B1" w:rsidRPr="003C5252" w:rsidTr="001237B1">
        <w:trPr>
          <w:trHeight w:val="197"/>
          <w:jc w:val="center"/>
        </w:trPr>
        <w:tc>
          <w:tcPr>
            <w:tcW w:w="1232" w:type="dxa"/>
          </w:tcPr>
          <w:p w:rsidR="001237B1" w:rsidRPr="000E3A78" w:rsidRDefault="001237B1" w:rsidP="001237B1">
            <w:pPr>
              <w:widowControl w:val="0"/>
              <w:rPr>
                <w:rFonts w:cs="Calibri"/>
                <w:sz w:val="23"/>
                <w:szCs w:val="23"/>
              </w:rPr>
            </w:pPr>
            <w:r w:rsidRPr="000E3A78">
              <w:rPr>
                <w:rFonts w:cs="Calibri"/>
                <w:sz w:val="23"/>
                <w:szCs w:val="23"/>
              </w:rPr>
              <w:t>Johnston</w:t>
            </w:r>
            <w:r>
              <w:rPr>
                <w:rFonts w:cs="Calibri"/>
                <w:sz w:val="23"/>
                <w:szCs w:val="23"/>
              </w:rPr>
              <w:t>*</w:t>
            </w:r>
          </w:p>
        </w:tc>
        <w:tc>
          <w:tcPr>
            <w:tcW w:w="1251" w:type="dxa"/>
          </w:tcPr>
          <w:p w:rsidR="001237B1" w:rsidRPr="000E3A78" w:rsidRDefault="001237B1" w:rsidP="001237B1">
            <w:pPr>
              <w:widowControl w:val="0"/>
              <w:jc w:val="center"/>
              <w:rPr>
                <w:rFonts w:cs="Calibri"/>
                <w:sz w:val="23"/>
                <w:szCs w:val="23"/>
              </w:rPr>
            </w:pPr>
            <w:r w:rsidRPr="000E3A78">
              <w:rPr>
                <w:rFonts w:cs="Calibri"/>
                <w:sz w:val="23"/>
                <w:szCs w:val="23"/>
              </w:rPr>
              <w:t>9.2%</w:t>
            </w:r>
          </w:p>
        </w:tc>
        <w:tc>
          <w:tcPr>
            <w:tcW w:w="1243" w:type="dxa"/>
          </w:tcPr>
          <w:p w:rsidR="001237B1" w:rsidRPr="000E3A78" w:rsidRDefault="001237B1" w:rsidP="001237B1">
            <w:pPr>
              <w:widowControl w:val="0"/>
              <w:jc w:val="center"/>
              <w:rPr>
                <w:rFonts w:cs="Calibri"/>
                <w:sz w:val="23"/>
                <w:szCs w:val="23"/>
              </w:rPr>
            </w:pPr>
            <w:r w:rsidRPr="000E3A78">
              <w:rPr>
                <w:rFonts w:cs="Calibri"/>
                <w:sz w:val="23"/>
                <w:szCs w:val="23"/>
              </w:rPr>
              <w:t>7.3%</w:t>
            </w:r>
          </w:p>
        </w:tc>
        <w:tc>
          <w:tcPr>
            <w:tcW w:w="1243" w:type="dxa"/>
          </w:tcPr>
          <w:p w:rsidR="001237B1" w:rsidRPr="000E3A78" w:rsidRDefault="001237B1" w:rsidP="001237B1">
            <w:pPr>
              <w:widowControl w:val="0"/>
              <w:jc w:val="center"/>
              <w:rPr>
                <w:rFonts w:cs="Calibri"/>
                <w:sz w:val="23"/>
                <w:szCs w:val="23"/>
              </w:rPr>
            </w:pPr>
            <w:r w:rsidRPr="000E3A78">
              <w:rPr>
                <w:rFonts w:cs="Calibri"/>
                <w:sz w:val="23"/>
                <w:szCs w:val="23"/>
              </w:rPr>
              <w:t>43.8%</w:t>
            </w:r>
          </w:p>
        </w:tc>
        <w:tc>
          <w:tcPr>
            <w:tcW w:w="1243" w:type="dxa"/>
          </w:tcPr>
          <w:p w:rsidR="001237B1" w:rsidRPr="000E3A78" w:rsidRDefault="001237B1" w:rsidP="001237B1">
            <w:pPr>
              <w:widowControl w:val="0"/>
              <w:jc w:val="center"/>
              <w:rPr>
                <w:rFonts w:cs="Calibri"/>
                <w:sz w:val="23"/>
                <w:szCs w:val="23"/>
              </w:rPr>
            </w:pPr>
            <w:r w:rsidRPr="000E3A78">
              <w:rPr>
                <w:rFonts w:cs="Calibri"/>
                <w:sz w:val="23"/>
                <w:szCs w:val="23"/>
              </w:rPr>
              <w:t>27.0%</w:t>
            </w:r>
          </w:p>
        </w:tc>
        <w:tc>
          <w:tcPr>
            <w:tcW w:w="1243" w:type="dxa"/>
          </w:tcPr>
          <w:p w:rsidR="001237B1" w:rsidRPr="000E3A78" w:rsidRDefault="001237B1" w:rsidP="001237B1">
            <w:pPr>
              <w:widowControl w:val="0"/>
              <w:jc w:val="center"/>
              <w:rPr>
                <w:rFonts w:cs="Calibri"/>
                <w:sz w:val="23"/>
                <w:szCs w:val="23"/>
              </w:rPr>
            </w:pPr>
            <w:r w:rsidRPr="000E3A78">
              <w:rPr>
                <w:rFonts w:cs="Calibri"/>
                <w:sz w:val="23"/>
                <w:szCs w:val="23"/>
              </w:rPr>
              <w:t>22.3%</w:t>
            </w:r>
          </w:p>
        </w:tc>
      </w:tr>
      <w:tr w:rsidR="001237B1" w:rsidRPr="003C5252" w:rsidTr="001237B1">
        <w:trPr>
          <w:trHeight w:val="197"/>
          <w:jc w:val="center"/>
        </w:trPr>
        <w:tc>
          <w:tcPr>
            <w:tcW w:w="1232" w:type="dxa"/>
          </w:tcPr>
          <w:p w:rsidR="001237B1" w:rsidRPr="000E3A78" w:rsidRDefault="001237B1" w:rsidP="001237B1">
            <w:pPr>
              <w:widowControl w:val="0"/>
              <w:rPr>
                <w:rFonts w:cs="Calibri"/>
                <w:sz w:val="23"/>
                <w:szCs w:val="23"/>
              </w:rPr>
            </w:pPr>
            <w:r w:rsidRPr="000E3A78">
              <w:rPr>
                <w:rFonts w:cs="Calibri"/>
                <w:sz w:val="23"/>
                <w:szCs w:val="23"/>
              </w:rPr>
              <w:lastRenderedPageBreak/>
              <w:t>Love</w:t>
            </w:r>
            <w:r>
              <w:rPr>
                <w:rFonts w:cs="Calibri"/>
                <w:sz w:val="23"/>
                <w:szCs w:val="23"/>
              </w:rPr>
              <w:t>*</w:t>
            </w:r>
          </w:p>
        </w:tc>
        <w:tc>
          <w:tcPr>
            <w:tcW w:w="1251" w:type="dxa"/>
          </w:tcPr>
          <w:p w:rsidR="001237B1" w:rsidRPr="000E3A78" w:rsidRDefault="001237B1" w:rsidP="001237B1">
            <w:pPr>
              <w:widowControl w:val="0"/>
              <w:jc w:val="center"/>
              <w:rPr>
                <w:rFonts w:cs="Calibri"/>
                <w:sz w:val="23"/>
                <w:szCs w:val="23"/>
              </w:rPr>
            </w:pPr>
            <w:r w:rsidRPr="000E3A78">
              <w:rPr>
                <w:rFonts w:cs="Calibri"/>
                <w:sz w:val="23"/>
                <w:szCs w:val="23"/>
              </w:rPr>
              <w:t>68.2%</w:t>
            </w:r>
          </w:p>
        </w:tc>
        <w:tc>
          <w:tcPr>
            <w:tcW w:w="1243" w:type="dxa"/>
          </w:tcPr>
          <w:p w:rsidR="001237B1" w:rsidRPr="000E3A78" w:rsidRDefault="001237B1" w:rsidP="001237B1">
            <w:pPr>
              <w:widowControl w:val="0"/>
              <w:jc w:val="center"/>
              <w:rPr>
                <w:rFonts w:cs="Calibri"/>
                <w:sz w:val="23"/>
                <w:szCs w:val="23"/>
              </w:rPr>
            </w:pPr>
            <w:r w:rsidRPr="000E3A78">
              <w:rPr>
                <w:rFonts w:cs="Calibri"/>
                <w:sz w:val="23"/>
                <w:szCs w:val="23"/>
              </w:rPr>
              <w:t>86.2%</w:t>
            </w:r>
          </w:p>
        </w:tc>
        <w:tc>
          <w:tcPr>
            <w:tcW w:w="1243" w:type="dxa"/>
          </w:tcPr>
          <w:p w:rsidR="001237B1" w:rsidRPr="000E3A78" w:rsidRDefault="001237B1" w:rsidP="001237B1">
            <w:pPr>
              <w:widowControl w:val="0"/>
              <w:jc w:val="center"/>
              <w:rPr>
                <w:rFonts w:cs="Calibri"/>
                <w:sz w:val="23"/>
                <w:szCs w:val="23"/>
              </w:rPr>
            </w:pPr>
            <w:r w:rsidRPr="000E3A78">
              <w:rPr>
                <w:rFonts w:cs="Calibri"/>
                <w:sz w:val="23"/>
                <w:szCs w:val="23"/>
              </w:rPr>
              <w:t>78.3%</w:t>
            </w:r>
          </w:p>
        </w:tc>
        <w:tc>
          <w:tcPr>
            <w:tcW w:w="1243" w:type="dxa"/>
          </w:tcPr>
          <w:p w:rsidR="001237B1" w:rsidRPr="000E3A78" w:rsidRDefault="001237B1" w:rsidP="001237B1">
            <w:pPr>
              <w:widowControl w:val="0"/>
              <w:jc w:val="center"/>
              <w:rPr>
                <w:rFonts w:cs="Calibri"/>
                <w:sz w:val="23"/>
                <w:szCs w:val="23"/>
              </w:rPr>
            </w:pPr>
            <w:r w:rsidRPr="000E3A78">
              <w:rPr>
                <w:rFonts w:cs="Calibri"/>
                <w:sz w:val="23"/>
                <w:szCs w:val="23"/>
              </w:rPr>
              <w:t>74.2%</w:t>
            </w:r>
          </w:p>
        </w:tc>
        <w:tc>
          <w:tcPr>
            <w:tcW w:w="1243" w:type="dxa"/>
          </w:tcPr>
          <w:p w:rsidR="001237B1" w:rsidRPr="000E3A78" w:rsidRDefault="001237B1" w:rsidP="001237B1">
            <w:pPr>
              <w:widowControl w:val="0"/>
              <w:jc w:val="center"/>
              <w:rPr>
                <w:rFonts w:cs="Calibri"/>
                <w:sz w:val="23"/>
                <w:szCs w:val="23"/>
              </w:rPr>
            </w:pPr>
            <w:r w:rsidRPr="000E3A78">
              <w:rPr>
                <w:rFonts w:cs="Calibri"/>
                <w:sz w:val="23"/>
                <w:szCs w:val="23"/>
              </w:rPr>
              <w:t>77.2%</w:t>
            </w:r>
          </w:p>
        </w:tc>
      </w:tr>
      <w:tr w:rsidR="001237B1" w:rsidRPr="003C5252" w:rsidTr="001237B1">
        <w:trPr>
          <w:trHeight w:val="207"/>
          <w:jc w:val="center"/>
        </w:trPr>
        <w:tc>
          <w:tcPr>
            <w:tcW w:w="1232" w:type="dxa"/>
          </w:tcPr>
          <w:p w:rsidR="001237B1" w:rsidRPr="000E3A78" w:rsidRDefault="001237B1" w:rsidP="001237B1">
            <w:pPr>
              <w:widowControl w:val="0"/>
              <w:rPr>
                <w:rFonts w:cs="Calibri"/>
                <w:sz w:val="23"/>
                <w:szCs w:val="23"/>
              </w:rPr>
            </w:pPr>
            <w:r w:rsidRPr="000E3A78">
              <w:rPr>
                <w:rFonts w:cs="Calibri"/>
                <w:sz w:val="23"/>
                <w:szCs w:val="23"/>
              </w:rPr>
              <w:t>Marshall</w:t>
            </w:r>
          </w:p>
        </w:tc>
        <w:tc>
          <w:tcPr>
            <w:tcW w:w="1251" w:type="dxa"/>
          </w:tcPr>
          <w:p w:rsidR="001237B1" w:rsidRPr="000E3A78" w:rsidRDefault="001237B1" w:rsidP="001237B1">
            <w:pPr>
              <w:widowControl w:val="0"/>
              <w:jc w:val="center"/>
              <w:rPr>
                <w:rFonts w:cs="Calibri"/>
                <w:sz w:val="23"/>
                <w:szCs w:val="23"/>
              </w:rPr>
            </w:pPr>
            <w:r w:rsidRPr="000E3A78">
              <w:rPr>
                <w:rFonts w:cs="Calibri"/>
                <w:sz w:val="23"/>
                <w:szCs w:val="23"/>
              </w:rPr>
              <w:t>33.4%</w:t>
            </w:r>
          </w:p>
        </w:tc>
        <w:tc>
          <w:tcPr>
            <w:tcW w:w="1243" w:type="dxa"/>
          </w:tcPr>
          <w:p w:rsidR="001237B1" w:rsidRPr="000E3A78" w:rsidRDefault="001237B1" w:rsidP="001237B1">
            <w:pPr>
              <w:widowControl w:val="0"/>
              <w:jc w:val="center"/>
              <w:rPr>
                <w:rFonts w:cs="Calibri"/>
                <w:sz w:val="23"/>
                <w:szCs w:val="23"/>
              </w:rPr>
            </w:pPr>
            <w:r w:rsidRPr="000E3A78">
              <w:rPr>
                <w:rFonts w:cs="Calibri"/>
                <w:sz w:val="23"/>
                <w:szCs w:val="23"/>
              </w:rPr>
              <w:t>14.1%</w:t>
            </w:r>
          </w:p>
        </w:tc>
        <w:tc>
          <w:tcPr>
            <w:tcW w:w="1243" w:type="dxa"/>
          </w:tcPr>
          <w:p w:rsidR="001237B1" w:rsidRPr="000E3A78" w:rsidRDefault="001237B1" w:rsidP="001237B1">
            <w:pPr>
              <w:widowControl w:val="0"/>
              <w:jc w:val="center"/>
              <w:rPr>
                <w:rFonts w:cs="Calibri"/>
                <w:sz w:val="23"/>
                <w:szCs w:val="23"/>
              </w:rPr>
            </w:pPr>
            <w:r w:rsidRPr="000E3A78">
              <w:rPr>
                <w:rFonts w:cs="Calibri"/>
                <w:sz w:val="23"/>
                <w:szCs w:val="23"/>
              </w:rPr>
              <w:t>29.1%</w:t>
            </w:r>
          </w:p>
        </w:tc>
        <w:tc>
          <w:tcPr>
            <w:tcW w:w="1243" w:type="dxa"/>
          </w:tcPr>
          <w:p w:rsidR="001237B1" w:rsidRPr="000E3A78" w:rsidRDefault="001237B1" w:rsidP="001237B1">
            <w:pPr>
              <w:widowControl w:val="0"/>
              <w:jc w:val="center"/>
              <w:rPr>
                <w:rFonts w:cs="Calibri"/>
                <w:sz w:val="23"/>
                <w:szCs w:val="23"/>
              </w:rPr>
            </w:pPr>
            <w:r w:rsidRPr="000E3A78">
              <w:rPr>
                <w:rFonts w:cs="Calibri"/>
                <w:sz w:val="23"/>
                <w:szCs w:val="23"/>
              </w:rPr>
              <w:t>17.8%</w:t>
            </w:r>
          </w:p>
        </w:tc>
        <w:tc>
          <w:tcPr>
            <w:tcW w:w="1243" w:type="dxa"/>
          </w:tcPr>
          <w:p w:rsidR="001237B1" w:rsidRPr="000E3A78" w:rsidRDefault="001237B1" w:rsidP="001237B1">
            <w:pPr>
              <w:widowControl w:val="0"/>
              <w:jc w:val="center"/>
              <w:rPr>
                <w:rFonts w:cs="Calibri"/>
                <w:sz w:val="23"/>
                <w:szCs w:val="23"/>
              </w:rPr>
            </w:pPr>
            <w:r w:rsidRPr="000E3A78">
              <w:rPr>
                <w:rFonts w:cs="Calibri"/>
                <w:sz w:val="23"/>
                <w:szCs w:val="23"/>
              </w:rPr>
              <w:t>24.0%</w:t>
            </w:r>
          </w:p>
        </w:tc>
      </w:tr>
      <w:tr w:rsidR="001237B1" w:rsidRPr="003C5252" w:rsidTr="001237B1">
        <w:trPr>
          <w:trHeight w:val="197"/>
          <w:jc w:val="center"/>
        </w:trPr>
        <w:tc>
          <w:tcPr>
            <w:tcW w:w="1232" w:type="dxa"/>
          </w:tcPr>
          <w:p w:rsidR="001237B1" w:rsidRPr="000E3A78" w:rsidRDefault="001237B1" w:rsidP="001237B1">
            <w:pPr>
              <w:widowControl w:val="0"/>
              <w:rPr>
                <w:rFonts w:cs="Calibri"/>
                <w:sz w:val="23"/>
                <w:szCs w:val="23"/>
              </w:rPr>
            </w:pPr>
            <w:r w:rsidRPr="000E3A78">
              <w:rPr>
                <w:rFonts w:cs="Calibri"/>
                <w:sz w:val="23"/>
                <w:szCs w:val="23"/>
              </w:rPr>
              <w:t>Murray</w:t>
            </w:r>
            <w:r>
              <w:rPr>
                <w:rFonts w:cs="Calibri"/>
                <w:sz w:val="23"/>
                <w:szCs w:val="23"/>
              </w:rPr>
              <w:t>*</w:t>
            </w:r>
          </w:p>
        </w:tc>
        <w:tc>
          <w:tcPr>
            <w:tcW w:w="1251" w:type="dxa"/>
          </w:tcPr>
          <w:p w:rsidR="001237B1" w:rsidRPr="000E3A78" w:rsidRDefault="001237B1" w:rsidP="001237B1">
            <w:pPr>
              <w:widowControl w:val="0"/>
              <w:jc w:val="center"/>
              <w:rPr>
                <w:rFonts w:cs="Calibri"/>
                <w:sz w:val="23"/>
                <w:szCs w:val="23"/>
              </w:rPr>
            </w:pPr>
            <w:r w:rsidRPr="000E3A78">
              <w:rPr>
                <w:rFonts w:cs="Calibri"/>
                <w:sz w:val="23"/>
                <w:szCs w:val="23"/>
              </w:rPr>
              <w:t>39.0%</w:t>
            </w:r>
          </w:p>
        </w:tc>
        <w:tc>
          <w:tcPr>
            <w:tcW w:w="1243" w:type="dxa"/>
          </w:tcPr>
          <w:p w:rsidR="001237B1" w:rsidRPr="000E3A78" w:rsidRDefault="001237B1" w:rsidP="001237B1">
            <w:pPr>
              <w:widowControl w:val="0"/>
              <w:jc w:val="center"/>
              <w:rPr>
                <w:rFonts w:cs="Calibri"/>
                <w:sz w:val="23"/>
                <w:szCs w:val="23"/>
              </w:rPr>
            </w:pPr>
            <w:r w:rsidRPr="000E3A78">
              <w:rPr>
                <w:rFonts w:cs="Calibri"/>
                <w:sz w:val="23"/>
                <w:szCs w:val="23"/>
              </w:rPr>
              <w:t>38.5%</w:t>
            </w:r>
          </w:p>
        </w:tc>
        <w:tc>
          <w:tcPr>
            <w:tcW w:w="1243" w:type="dxa"/>
          </w:tcPr>
          <w:p w:rsidR="001237B1" w:rsidRPr="000E3A78" w:rsidRDefault="001237B1" w:rsidP="001237B1">
            <w:pPr>
              <w:widowControl w:val="0"/>
              <w:jc w:val="center"/>
              <w:rPr>
                <w:rFonts w:cs="Calibri"/>
                <w:sz w:val="23"/>
                <w:szCs w:val="23"/>
              </w:rPr>
            </w:pPr>
            <w:r w:rsidRPr="000E3A78">
              <w:rPr>
                <w:rFonts w:cs="Calibri"/>
                <w:sz w:val="23"/>
                <w:szCs w:val="23"/>
              </w:rPr>
              <w:t>0.0%</w:t>
            </w:r>
          </w:p>
        </w:tc>
        <w:tc>
          <w:tcPr>
            <w:tcW w:w="1243" w:type="dxa"/>
          </w:tcPr>
          <w:p w:rsidR="001237B1" w:rsidRPr="000E3A78" w:rsidRDefault="001237B1" w:rsidP="001237B1">
            <w:pPr>
              <w:widowControl w:val="0"/>
              <w:jc w:val="center"/>
              <w:rPr>
                <w:rFonts w:cs="Calibri"/>
                <w:sz w:val="23"/>
                <w:szCs w:val="23"/>
              </w:rPr>
            </w:pPr>
            <w:r w:rsidRPr="000E3A78">
              <w:rPr>
                <w:rFonts w:cs="Calibri"/>
                <w:sz w:val="23"/>
                <w:szCs w:val="23"/>
              </w:rPr>
              <w:t>0.0%</w:t>
            </w:r>
          </w:p>
        </w:tc>
        <w:tc>
          <w:tcPr>
            <w:tcW w:w="1243" w:type="dxa"/>
          </w:tcPr>
          <w:p w:rsidR="001237B1" w:rsidRPr="000E3A78" w:rsidRDefault="001237B1" w:rsidP="001237B1">
            <w:pPr>
              <w:widowControl w:val="0"/>
              <w:jc w:val="center"/>
              <w:rPr>
                <w:rFonts w:cs="Calibri"/>
                <w:sz w:val="23"/>
                <w:szCs w:val="23"/>
              </w:rPr>
            </w:pPr>
            <w:r w:rsidRPr="000E3A78">
              <w:rPr>
                <w:rFonts w:cs="Calibri"/>
                <w:sz w:val="23"/>
                <w:szCs w:val="23"/>
              </w:rPr>
              <w:t>20.0%</w:t>
            </w:r>
          </w:p>
        </w:tc>
      </w:tr>
      <w:tr w:rsidR="0030408A" w:rsidRPr="003C5252" w:rsidTr="0030408A">
        <w:trPr>
          <w:trHeight w:val="207"/>
          <w:jc w:val="center"/>
        </w:trPr>
        <w:tc>
          <w:tcPr>
            <w:tcW w:w="1232" w:type="dxa"/>
            <w:shd w:val="clear" w:color="auto" w:fill="FFFF00"/>
          </w:tcPr>
          <w:p w:rsidR="0030408A" w:rsidRPr="0030408A" w:rsidRDefault="0030408A" w:rsidP="0010510C">
            <w:pPr>
              <w:widowControl w:val="0"/>
              <w:rPr>
                <w:rFonts w:cs="Calibri"/>
                <w:sz w:val="23"/>
                <w:szCs w:val="23"/>
              </w:rPr>
            </w:pPr>
            <w:r w:rsidRPr="0030408A">
              <w:rPr>
                <w:rFonts w:cs="Calibri"/>
                <w:sz w:val="23"/>
                <w:szCs w:val="23"/>
              </w:rPr>
              <w:t>Pontotoc</w:t>
            </w:r>
          </w:p>
        </w:tc>
        <w:tc>
          <w:tcPr>
            <w:tcW w:w="1251" w:type="dxa"/>
            <w:shd w:val="clear" w:color="auto" w:fill="FFFF00"/>
          </w:tcPr>
          <w:p w:rsidR="0030408A" w:rsidRPr="0030408A" w:rsidRDefault="0030408A" w:rsidP="0010510C">
            <w:pPr>
              <w:widowControl w:val="0"/>
              <w:jc w:val="center"/>
              <w:rPr>
                <w:rFonts w:cs="Calibri"/>
                <w:sz w:val="23"/>
                <w:szCs w:val="23"/>
              </w:rPr>
            </w:pPr>
            <w:r w:rsidRPr="0030408A">
              <w:rPr>
                <w:rFonts w:cs="Calibri"/>
                <w:sz w:val="23"/>
                <w:szCs w:val="23"/>
              </w:rPr>
              <w:t>68.7%</w:t>
            </w:r>
          </w:p>
        </w:tc>
        <w:tc>
          <w:tcPr>
            <w:tcW w:w="1243" w:type="dxa"/>
            <w:shd w:val="clear" w:color="auto" w:fill="FFFF00"/>
          </w:tcPr>
          <w:p w:rsidR="0030408A" w:rsidRPr="0030408A" w:rsidRDefault="0030408A" w:rsidP="0010510C">
            <w:pPr>
              <w:widowControl w:val="0"/>
              <w:jc w:val="center"/>
              <w:rPr>
                <w:rFonts w:cs="Calibri"/>
                <w:sz w:val="23"/>
                <w:szCs w:val="23"/>
              </w:rPr>
            </w:pPr>
            <w:r w:rsidRPr="0030408A">
              <w:rPr>
                <w:rFonts w:cs="Calibri"/>
                <w:sz w:val="23"/>
                <w:szCs w:val="23"/>
              </w:rPr>
              <w:t>67.1%</w:t>
            </w:r>
          </w:p>
        </w:tc>
        <w:tc>
          <w:tcPr>
            <w:tcW w:w="1243" w:type="dxa"/>
            <w:shd w:val="clear" w:color="auto" w:fill="FFFF00"/>
          </w:tcPr>
          <w:p w:rsidR="0030408A" w:rsidRPr="0030408A" w:rsidRDefault="0030408A" w:rsidP="0010510C">
            <w:pPr>
              <w:widowControl w:val="0"/>
              <w:jc w:val="center"/>
              <w:rPr>
                <w:rFonts w:cs="Calibri"/>
                <w:sz w:val="23"/>
                <w:szCs w:val="23"/>
              </w:rPr>
            </w:pPr>
            <w:r w:rsidRPr="0030408A">
              <w:rPr>
                <w:rFonts w:cs="Calibri"/>
                <w:sz w:val="23"/>
                <w:szCs w:val="23"/>
              </w:rPr>
              <w:t>55.2%</w:t>
            </w:r>
          </w:p>
        </w:tc>
        <w:tc>
          <w:tcPr>
            <w:tcW w:w="1243" w:type="dxa"/>
            <w:shd w:val="clear" w:color="auto" w:fill="FFFF00"/>
          </w:tcPr>
          <w:p w:rsidR="0030408A" w:rsidRPr="0030408A" w:rsidRDefault="0030408A" w:rsidP="0010510C">
            <w:pPr>
              <w:widowControl w:val="0"/>
              <w:jc w:val="center"/>
              <w:rPr>
                <w:rFonts w:cs="Calibri"/>
                <w:sz w:val="23"/>
                <w:szCs w:val="23"/>
              </w:rPr>
            </w:pPr>
            <w:r w:rsidRPr="0030408A">
              <w:rPr>
                <w:rFonts w:cs="Calibri"/>
                <w:sz w:val="23"/>
                <w:szCs w:val="23"/>
              </w:rPr>
              <w:t>52.9%</w:t>
            </w:r>
          </w:p>
        </w:tc>
        <w:tc>
          <w:tcPr>
            <w:tcW w:w="1243" w:type="dxa"/>
            <w:shd w:val="clear" w:color="auto" w:fill="FFFF00"/>
          </w:tcPr>
          <w:p w:rsidR="0030408A" w:rsidRPr="0030408A" w:rsidRDefault="0030408A" w:rsidP="0010510C">
            <w:pPr>
              <w:widowControl w:val="0"/>
              <w:jc w:val="center"/>
              <w:rPr>
                <w:rFonts w:cs="Calibri"/>
                <w:sz w:val="23"/>
                <w:szCs w:val="23"/>
              </w:rPr>
            </w:pPr>
            <w:r w:rsidRPr="0030408A">
              <w:rPr>
                <w:rFonts w:cs="Calibri"/>
                <w:sz w:val="23"/>
                <w:szCs w:val="23"/>
              </w:rPr>
              <w:t>61.4%</w:t>
            </w:r>
          </w:p>
        </w:tc>
      </w:tr>
    </w:tbl>
    <w:p w:rsidR="006E46A4" w:rsidRPr="006E46A4" w:rsidRDefault="006E46A4" w:rsidP="002A0F99">
      <w:pPr>
        <w:widowControl w:val="0"/>
        <w:spacing w:before="120"/>
        <w:rPr>
          <w:rFonts w:ascii="Calibri" w:hAnsi="Calibri" w:cs="Calibri"/>
          <w:b/>
          <w:sz w:val="24"/>
          <w:szCs w:val="24"/>
          <w:u w:val="single"/>
        </w:rPr>
      </w:pPr>
      <w:r w:rsidRPr="006E46A4">
        <w:rPr>
          <w:rFonts w:ascii="Calibri" w:hAnsi="Calibri" w:cs="Calibri"/>
          <w:b/>
          <w:sz w:val="24"/>
          <w:szCs w:val="24"/>
          <w:u w:val="single"/>
        </w:rPr>
        <w:t>Findings from 2010-2014 OPNA:</w:t>
      </w:r>
    </w:p>
    <w:p w:rsidR="006E46A4" w:rsidRDefault="001B70B4" w:rsidP="006E46A4">
      <w:pPr>
        <w:widowControl w:val="0"/>
        <w:spacing w:before="120"/>
        <w:jc w:val="both"/>
        <w:rPr>
          <w:rFonts w:ascii="Calibri" w:hAnsi="Calibri" w:cs="Calibri"/>
          <w:sz w:val="24"/>
          <w:szCs w:val="24"/>
        </w:rPr>
      </w:pPr>
      <w:r w:rsidRPr="003C5252">
        <w:rPr>
          <w:rFonts w:ascii="Calibri" w:hAnsi="Calibri" w:cs="Calibri"/>
          <w:sz w:val="24"/>
          <w:szCs w:val="24"/>
        </w:rPr>
        <w:t xml:space="preserve">The OPNA consumption data listed in Table 4 indicates youth alcohol consumption is a concern for Region 10. </w:t>
      </w:r>
      <w:r w:rsidR="0030408A">
        <w:rPr>
          <w:rFonts w:ascii="Calibri" w:hAnsi="Calibri" w:cs="Calibri"/>
          <w:sz w:val="24"/>
          <w:szCs w:val="24"/>
        </w:rPr>
        <w:t>Data collected from the years of 2010-2014, i</w:t>
      </w:r>
      <w:r w:rsidRPr="003C5252">
        <w:rPr>
          <w:rFonts w:ascii="Calibri" w:hAnsi="Calibri" w:cs="Calibri"/>
          <w:sz w:val="24"/>
          <w:szCs w:val="24"/>
        </w:rPr>
        <w:t>n comparison to the state, Region 10 had several counties with higher percentages for all grades among all the OPNA alcohol consumption indicators listed.  Of the 12</w:t>
      </w:r>
      <w:r w:rsidRPr="003C5252">
        <w:rPr>
          <w:rFonts w:ascii="Calibri" w:hAnsi="Calibri" w:cs="Calibri"/>
          <w:sz w:val="24"/>
          <w:szCs w:val="24"/>
          <w:vertAlign w:val="superscript"/>
        </w:rPr>
        <w:t>th</w:t>
      </w:r>
      <w:r w:rsidR="006731AC">
        <w:rPr>
          <w:rFonts w:ascii="Calibri" w:hAnsi="Calibri" w:cs="Calibri"/>
          <w:sz w:val="24"/>
          <w:szCs w:val="24"/>
        </w:rPr>
        <w:t xml:space="preserve"> grade</w:t>
      </w:r>
      <w:r w:rsidRPr="003C5252">
        <w:rPr>
          <w:rFonts w:ascii="Calibri" w:hAnsi="Calibri" w:cs="Calibri"/>
          <w:sz w:val="24"/>
          <w:szCs w:val="24"/>
        </w:rPr>
        <w:t xml:space="preserve"> </w:t>
      </w:r>
      <w:r w:rsidR="006731AC">
        <w:rPr>
          <w:rFonts w:ascii="Calibri" w:hAnsi="Calibri" w:cs="Calibri"/>
          <w:sz w:val="24"/>
          <w:szCs w:val="24"/>
        </w:rPr>
        <w:t xml:space="preserve">students </w:t>
      </w:r>
      <w:r w:rsidR="004E7956">
        <w:rPr>
          <w:rFonts w:ascii="Calibri" w:hAnsi="Calibri" w:cs="Calibri"/>
          <w:sz w:val="24"/>
          <w:szCs w:val="24"/>
        </w:rPr>
        <w:t>who reported Past 30 D</w:t>
      </w:r>
      <w:r w:rsidRPr="003C5252">
        <w:rPr>
          <w:rFonts w:ascii="Calibri" w:hAnsi="Calibri" w:cs="Calibri"/>
          <w:sz w:val="24"/>
          <w:szCs w:val="24"/>
        </w:rPr>
        <w:t>ay Use, all of the counties, with the exception of Carter, Marshall, Murray, and Pontotoc, had higher percentages than the state.  Among 6</w:t>
      </w:r>
      <w:r w:rsidRPr="003C5252">
        <w:rPr>
          <w:rFonts w:ascii="Calibri" w:hAnsi="Calibri" w:cs="Calibri"/>
          <w:sz w:val="24"/>
          <w:szCs w:val="24"/>
          <w:vertAlign w:val="superscript"/>
        </w:rPr>
        <w:t>th</w:t>
      </w:r>
      <w:r w:rsidRPr="003C5252">
        <w:rPr>
          <w:rFonts w:ascii="Calibri" w:hAnsi="Calibri" w:cs="Calibri"/>
          <w:sz w:val="24"/>
          <w:szCs w:val="24"/>
        </w:rPr>
        <w:t>-12</w:t>
      </w:r>
      <w:r w:rsidRPr="003C5252">
        <w:rPr>
          <w:rFonts w:ascii="Calibri" w:hAnsi="Calibri" w:cs="Calibri"/>
          <w:sz w:val="24"/>
          <w:szCs w:val="24"/>
          <w:vertAlign w:val="superscript"/>
        </w:rPr>
        <w:t>th</w:t>
      </w:r>
      <w:r w:rsidR="006731AC">
        <w:rPr>
          <w:rFonts w:ascii="Calibri" w:hAnsi="Calibri" w:cs="Calibri"/>
          <w:sz w:val="24"/>
          <w:szCs w:val="24"/>
        </w:rPr>
        <w:t xml:space="preserve"> grade students</w:t>
      </w:r>
      <w:r w:rsidRPr="003C5252">
        <w:rPr>
          <w:rFonts w:ascii="Calibri" w:hAnsi="Calibri" w:cs="Calibri"/>
          <w:sz w:val="24"/>
          <w:szCs w:val="24"/>
        </w:rPr>
        <w:t xml:space="preserve"> who reported riding with a drinking driver, Bryan, Garvin, Love, and Johnston Counties reported consistently higher rates in comparison to the state.  Garvin County 12</w:t>
      </w:r>
      <w:r w:rsidRPr="003C5252">
        <w:rPr>
          <w:rFonts w:ascii="Calibri" w:hAnsi="Calibri" w:cs="Calibri"/>
          <w:sz w:val="24"/>
          <w:szCs w:val="24"/>
          <w:vertAlign w:val="superscript"/>
        </w:rPr>
        <w:t>th</w:t>
      </w:r>
      <w:r w:rsidR="006731AC">
        <w:rPr>
          <w:rFonts w:ascii="Calibri" w:hAnsi="Calibri" w:cs="Calibri"/>
          <w:sz w:val="24"/>
          <w:szCs w:val="24"/>
        </w:rPr>
        <w:t xml:space="preserve"> grade </w:t>
      </w:r>
      <w:r w:rsidRPr="003C5252">
        <w:rPr>
          <w:rFonts w:ascii="Calibri" w:hAnsi="Calibri" w:cs="Calibri"/>
          <w:sz w:val="24"/>
          <w:szCs w:val="24"/>
        </w:rPr>
        <w:t>s</w:t>
      </w:r>
      <w:r w:rsidR="006731AC">
        <w:rPr>
          <w:rFonts w:ascii="Calibri" w:hAnsi="Calibri" w:cs="Calibri"/>
          <w:sz w:val="24"/>
          <w:szCs w:val="24"/>
        </w:rPr>
        <w:t>tudents</w:t>
      </w:r>
      <w:r w:rsidRPr="003C5252">
        <w:rPr>
          <w:rFonts w:ascii="Calibri" w:hAnsi="Calibri" w:cs="Calibri"/>
          <w:sz w:val="24"/>
          <w:szCs w:val="24"/>
        </w:rPr>
        <w:t xml:space="preserve"> reported a higher incidence of drinking and driving at </w:t>
      </w:r>
      <w:r w:rsidR="006731AC">
        <w:rPr>
          <w:rFonts w:ascii="Calibri" w:hAnsi="Calibri" w:cs="Calibri"/>
          <w:sz w:val="24"/>
          <w:szCs w:val="24"/>
        </w:rPr>
        <w:t>(</w:t>
      </w:r>
      <w:r w:rsidRPr="003C5252">
        <w:rPr>
          <w:rFonts w:ascii="Calibri" w:hAnsi="Calibri" w:cs="Calibri"/>
          <w:sz w:val="24"/>
          <w:szCs w:val="24"/>
        </w:rPr>
        <w:t>23.4</w:t>
      </w:r>
      <w:r w:rsidR="006731AC">
        <w:rPr>
          <w:rFonts w:ascii="Calibri" w:hAnsi="Calibri" w:cs="Calibri"/>
          <w:sz w:val="24"/>
          <w:szCs w:val="24"/>
        </w:rPr>
        <w:t>)</w:t>
      </w:r>
      <w:r w:rsidRPr="003C5252">
        <w:rPr>
          <w:rFonts w:ascii="Calibri" w:hAnsi="Calibri" w:cs="Calibri"/>
          <w:sz w:val="24"/>
          <w:szCs w:val="24"/>
        </w:rPr>
        <w:t xml:space="preserve"> percent, which was higher than the state at </w:t>
      </w:r>
      <w:r w:rsidR="006731AC">
        <w:rPr>
          <w:rFonts w:ascii="Calibri" w:hAnsi="Calibri" w:cs="Calibri"/>
          <w:sz w:val="24"/>
          <w:szCs w:val="24"/>
        </w:rPr>
        <w:t>(</w:t>
      </w:r>
      <w:r w:rsidRPr="003C5252">
        <w:rPr>
          <w:rFonts w:ascii="Calibri" w:hAnsi="Calibri" w:cs="Calibri"/>
          <w:sz w:val="24"/>
          <w:szCs w:val="24"/>
        </w:rPr>
        <w:t>11.5</w:t>
      </w:r>
      <w:r w:rsidR="006731AC">
        <w:rPr>
          <w:rFonts w:ascii="Calibri" w:hAnsi="Calibri" w:cs="Calibri"/>
          <w:sz w:val="24"/>
          <w:szCs w:val="24"/>
        </w:rPr>
        <w:t>)</w:t>
      </w:r>
      <w:r w:rsidRPr="003C5252">
        <w:rPr>
          <w:rFonts w:ascii="Calibri" w:hAnsi="Calibri" w:cs="Calibri"/>
          <w:sz w:val="24"/>
          <w:szCs w:val="24"/>
        </w:rPr>
        <w:t xml:space="preserve"> percent. Carter County reported a high incidence of drinking and driving at </w:t>
      </w:r>
      <w:r w:rsidR="006731AC">
        <w:rPr>
          <w:rFonts w:ascii="Calibri" w:hAnsi="Calibri" w:cs="Calibri"/>
          <w:sz w:val="24"/>
          <w:szCs w:val="24"/>
        </w:rPr>
        <w:t>(</w:t>
      </w:r>
      <w:r w:rsidRPr="003C5252">
        <w:rPr>
          <w:rFonts w:ascii="Calibri" w:hAnsi="Calibri" w:cs="Calibri"/>
          <w:sz w:val="24"/>
          <w:szCs w:val="24"/>
        </w:rPr>
        <w:t>11.2</w:t>
      </w:r>
      <w:r w:rsidR="006731AC">
        <w:rPr>
          <w:rFonts w:ascii="Calibri" w:hAnsi="Calibri" w:cs="Calibri"/>
          <w:sz w:val="24"/>
          <w:szCs w:val="24"/>
        </w:rPr>
        <w:t>)</w:t>
      </w:r>
      <w:r w:rsidRPr="003C5252">
        <w:rPr>
          <w:rFonts w:ascii="Calibri" w:hAnsi="Calibri" w:cs="Calibri"/>
          <w:sz w:val="24"/>
          <w:szCs w:val="24"/>
        </w:rPr>
        <w:t xml:space="preserve"> percent, which was close to the state average of </w:t>
      </w:r>
      <w:r w:rsidR="006731AC">
        <w:rPr>
          <w:rFonts w:ascii="Calibri" w:hAnsi="Calibri" w:cs="Calibri"/>
          <w:sz w:val="24"/>
          <w:szCs w:val="24"/>
        </w:rPr>
        <w:t>(</w:t>
      </w:r>
      <w:r w:rsidRPr="003C5252">
        <w:rPr>
          <w:rFonts w:ascii="Calibri" w:hAnsi="Calibri" w:cs="Calibri"/>
          <w:sz w:val="24"/>
          <w:szCs w:val="24"/>
        </w:rPr>
        <w:t>11.5</w:t>
      </w:r>
      <w:r w:rsidR="006731AC">
        <w:rPr>
          <w:rFonts w:ascii="Calibri" w:hAnsi="Calibri" w:cs="Calibri"/>
          <w:sz w:val="24"/>
          <w:szCs w:val="24"/>
        </w:rPr>
        <w:t>)</w:t>
      </w:r>
      <w:r w:rsidRPr="003C5252">
        <w:rPr>
          <w:rFonts w:ascii="Calibri" w:hAnsi="Calibri" w:cs="Calibri"/>
          <w:sz w:val="24"/>
          <w:szCs w:val="24"/>
        </w:rPr>
        <w:t xml:space="preserve"> percent. Carter County had higher and close percentages among all the grades within the drinking and driving indicator compared to</w:t>
      </w:r>
      <w:r>
        <w:rPr>
          <w:rFonts w:ascii="Calibri" w:hAnsi="Calibri" w:cs="Calibri"/>
          <w:sz w:val="24"/>
          <w:szCs w:val="24"/>
        </w:rPr>
        <w:t xml:space="preserve"> the state. </w:t>
      </w:r>
    </w:p>
    <w:p w:rsidR="006E46A4" w:rsidRDefault="006E46A4" w:rsidP="006E46A4">
      <w:pPr>
        <w:widowControl w:val="0"/>
        <w:spacing w:before="120"/>
        <w:jc w:val="both"/>
        <w:rPr>
          <w:rFonts w:ascii="Calibri" w:hAnsi="Calibri" w:cs="Calibri"/>
          <w:sz w:val="24"/>
          <w:szCs w:val="24"/>
        </w:rPr>
      </w:pPr>
      <w:r>
        <w:rPr>
          <w:rFonts w:ascii="Calibri" w:hAnsi="Calibri" w:cs="Calibri"/>
          <w:b/>
          <w:sz w:val="24"/>
          <w:szCs w:val="24"/>
          <w:u w:val="single"/>
        </w:rPr>
        <w:t>Findings from 2016</w:t>
      </w:r>
      <w:r w:rsidRPr="006E46A4">
        <w:rPr>
          <w:rFonts w:ascii="Calibri" w:hAnsi="Calibri" w:cs="Calibri"/>
          <w:b/>
          <w:sz w:val="24"/>
          <w:szCs w:val="24"/>
          <w:u w:val="single"/>
        </w:rPr>
        <w:t xml:space="preserve"> OPNA:</w:t>
      </w:r>
    </w:p>
    <w:p w:rsidR="001B70B4" w:rsidRDefault="00803CE0" w:rsidP="006E46A4">
      <w:pPr>
        <w:widowControl w:val="0"/>
        <w:spacing w:before="120"/>
        <w:jc w:val="both"/>
        <w:rPr>
          <w:rFonts w:ascii="Calibri" w:hAnsi="Calibri" w:cs="Calibri"/>
          <w:sz w:val="24"/>
          <w:szCs w:val="24"/>
        </w:rPr>
      </w:pPr>
      <w:r w:rsidRPr="006E46A4">
        <w:rPr>
          <w:rFonts w:ascii="Calibri" w:hAnsi="Calibri" w:cs="Calibri"/>
          <w:sz w:val="24"/>
          <w:szCs w:val="24"/>
        </w:rPr>
        <w:t>The 2016 OPNA indicates that among the 6-10</w:t>
      </w:r>
      <w:r w:rsidRPr="006E46A4">
        <w:rPr>
          <w:rFonts w:ascii="Calibri" w:hAnsi="Calibri" w:cs="Calibri"/>
          <w:sz w:val="24"/>
          <w:szCs w:val="24"/>
          <w:vertAlign w:val="superscript"/>
        </w:rPr>
        <w:t>th</w:t>
      </w:r>
      <w:r w:rsidR="006731AC">
        <w:rPr>
          <w:rFonts w:ascii="Calibri" w:hAnsi="Calibri" w:cs="Calibri"/>
          <w:sz w:val="24"/>
          <w:szCs w:val="24"/>
        </w:rPr>
        <w:t xml:space="preserve"> grade students</w:t>
      </w:r>
      <w:r w:rsidRPr="006E46A4">
        <w:rPr>
          <w:rFonts w:ascii="Calibri" w:hAnsi="Calibri" w:cs="Calibri"/>
          <w:sz w:val="24"/>
          <w:szCs w:val="24"/>
        </w:rPr>
        <w:t xml:space="preserve"> in Bryan Co</w:t>
      </w:r>
      <w:r w:rsidR="004E7956">
        <w:rPr>
          <w:rFonts w:ascii="Calibri" w:hAnsi="Calibri" w:cs="Calibri"/>
          <w:sz w:val="24"/>
          <w:szCs w:val="24"/>
        </w:rPr>
        <w:t>unty, who reported Past 30 Day U</w:t>
      </w:r>
      <w:r w:rsidRPr="006E46A4">
        <w:rPr>
          <w:rFonts w:ascii="Calibri" w:hAnsi="Calibri" w:cs="Calibri"/>
          <w:sz w:val="24"/>
          <w:szCs w:val="24"/>
        </w:rPr>
        <w:t>se, had higher percentages than the state.  The 12</w:t>
      </w:r>
      <w:r w:rsidRPr="006E46A4">
        <w:rPr>
          <w:rFonts w:ascii="Calibri" w:hAnsi="Calibri" w:cs="Calibri"/>
          <w:sz w:val="24"/>
          <w:szCs w:val="24"/>
          <w:vertAlign w:val="superscript"/>
        </w:rPr>
        <w:t>th</w:t>
      </w:r>
      <w:r w:rsidR="006731AC">
        <w:rPr>
          <w:rFonts w:ascii="Calibri" w:hAnsi="Calibri" w:cs="Calibri"/>
          <w:sz w:val="24"/>
          <w:szCs w:val="24"/>
        </w:rPr>
        <w:t xml:space="preserve"> grade students</w:t>
      </w:r>
      <w:r w:rsidRPr="006E46A4">
        <w:rPr>
          <w:rFonts w:ascii="Calibri" w:hAnsi="Calibri" w:cs="Calibri"/>
          <w:sz w:val="24"/>
          <w:szCs w:val="24"/>
        </w:rPr>
        <w:t xml:space="preserve"> reported </w:t>
      </w:r>
      <w:r w:rsidR="006731AC">
        <w:rPr>
          <w:rFonts w:ascii="Calibri" w:hAnsi="Calibri" w:cs="Calibri"/>
          <w:sz w:val="24"/>
          <w:szCs w:val="24"/>
        </w:rPr>
        <w:t>(</w:t>
      </w:r>
      <w:r w:rsidRPr="006E46A4">
        <w:rPr>
          <w:rFonts w:ascii="Calibri" w:hAnsi="Calibri" w:cs="Calibri"/>
          <w:sz w:val="24"/>
          <w:szCs w:val="24"/>
        </w:rPr>
        <w:t>35.9</w:t>
      </w:r>
      <w:r w:rsidR="006731AC">
        <w:rPr>
          <w:rFonts w:ascii="Calibri" w:hAnsi="Calibri" w:cs="Calibri"/>
          <w:sz w:val="24"/>
          <w:szCs w:val="24"/>
        </w:rPr>
        <w:t>)</w:t>
      </w:r>
      <w:r w:rsidRPr="006E46A4">
        <w:rPr>
          <w:rFonts w:ascii="Calibri" w:hAnsi="Calibri" w:cs="Calibri"/>
          <w:sz w:val="24"/>
          <w:szCs w:val="24"/>
        </w:rPr>
        <w:t xml:space="preserve"> percent</w:t>
      </w:r>
      <w:r w:rsidR="008F70E5" w:rsidRPr="006E46A4">
        <w:rPr>
          <w:rFonts w:ascii="Calibri" w:hAnsi="Calibri" w:cs="Calibri"/>
          <w:sz w:val="24"/>
          <w:szCs w:val="24"/>
        </w:rPr>
        <w:t xml:space="preserve"> which was lower than the state.</w:t>
      </w:r>
      <w:r w:rsidRPr="006E46A4">
        <w:rPr>
          <w:rFonts w:ascii="Calibri" w:hAnsi="Calibri" w:cs="Calibri"/>
          <w:sz w:val="24"/>
          <w:szCs w:val="24"/>
        </w:rPr>
        <w:t xml:space="preserve"> Among the 6</w:t>
      </w:r>
      <w:r w:rsidRPr="006E46A4">
        <w:rPr>
          <w:rFonts w:ascii="Calibri" w:hAnsi="Calibri" w:cs="Calibri"/>
          <w:sz w:val="24"/>
          <w:szCs w:val="24"/>
          <w:vertAlign w:val="superscript"/>
        </w:rPr>
        <w:t>th</w:t>
      </w:r>
      <w:r w:rsidRPr="006E46A4">
        <w:rPr>
          <w:rFonts w:ascii="Calibri" w:hAnsi="Calibri" w:cs="Calibri"/>
          <w:sz w:val="24"/>
          <w:szCs w:val="24"/>
        </w:rPr>
        <w:t>-12</w:t>
      </w:r>
      <w:r w:rsidRPr="006E46A4">
        <w:rPr>
          <w:rFonts w:ascii="Calibri" w:hAnsi="Calibri" w:cs="Calibri"/>
          <w:sz w:val="24"/>
          <w:szCs w:val="24"/>
          <w:vertAlign w:val="superscript"/>
        </w:rPr>
        <w:t>th</w:t>
      </w:r>
      <w:r w:rsidR="006731AC">
        <w:rPr>
          <w:rFonts w:ascii="Calibri" w:hAnsi="Calibri" w:cs="Calibri"/>
          <w:sz w:val="24"/>
          <w:szCs w:val="24"/>
        </w:rPr>
        <w:t xml:space="preserve"> grade students in Carter and Pontotoc C</w:t>
      </w:r>
      <w:r w:rsidRPr="006E46A4">
        <w:rPr>
          <w:rFonts w:ascii="Calibri" w:hAnsi="Calibri" w:cs="Calibri"/>
          <w:sz w:val="24"/>
          <w:szCs w:val="24"/>
        </w:rPr>
        <w:t>oun</w:t>
      </w:r>
      <w:r w:rsidR="004E7956">
        <w:rPr>
          <w:rFonts w:ascii="Calibri" w:hAnsi="Calibri" w:cs="Calibri"/>
          <w:sz w:val="24"/>
          <w:szCs w:val="24"/>
        </w:rPr>
        <w:t>ties, who reported Past 30 Day U</w:t>
      </w:r>
      <w:r w:rsidRPr="006E46A4">
        <w:rPr>
          <w:rFonts w:ascii="Calibri" w:hAnsi="Calibri" w:cs="Calibri"/>
          <w:sz w:val="24"/>
          <w:szCs w:val="24"/>
        </w:rPr>
        <w:t xml:space="preserve">se, their percentages were lower than the state. </w:t>
      </w:r>
      <w:r w:rsidR="006E46A4" w:rsidRPr="006E46A4">
        <w:rPr>
          <w:rFonts w:ascii="Calibri" w:hAnsi="Calibri" w:cs="Calibri"/>
          <w:sz w:val="24"/>
          <w:szCs w:val="24"/>
        </w:rPr>
        <w:t>However, the 12</w:t>
      </w:r>
      <w:r w:rsidR="006E46A4" w:rsidRPr="006E46A4">
        <w:rPr>
          <w:rFonts w:ascii="Calibri" w:hAnsi="Calibri" w:cs="Calibri"/>
          <w:sz w:val="24"/>
          <w:szCs w:val="24"/>
          <w:vertAlign w:val="superscript"/>
        </w:rPr>
        <w:t>th</w:t>
      </w:r>
      <w:r w:rsidR="006731AC">
        <w:rPr>
          <w:rFonts w:ascii="Calibri" w:hAnsi="Calibri" w:cs="Calibri"/>
          <w:sz w:val="24"/>
          <w:szCs w:val="24"/>
        </w:rPr>
        <w:t xml:space="preserve"> grade students</w:t>
      </w:r>
      <w:r w:rsidR="006E46A4" w:rsidRPr="006E46A4">
        <w:rPr>
          <w:rFonts w:ascii="Calibri" w:hAnsi="Calibri" w:cs="Calibri"/>
          <w:sz w:val="24"/>
          <w:szCs w:val="24"/>
        </w:rPr>
        <w:t xml:space="preserve"> in Carter County w</w:t>
      </w:r>
      <w:r w:rsidR="006E46A4">
        <w:rPr>
          <w:rFonts w:ascii="Calibri" w:hAnsi="Calibri" w:cs="Calibri"/>
          <w:sz w:val="24"/>
          <w:szCs w:val="24"/>
        </w:rPr>
        <w:t xml:space="preserve">ere close to the state average of </w:t>
      </w:r>
      <w:r w:rsidR="006731AC">
        <w:rPr>
          <w:rFonts w:ascii="Calibri" w:hAnsi="Calibri" w:cs="Calibri"/>
          <w:sz w:val="24"/>
          <w:szCs w:val="24"/>
        </w:rPr>
        <w:t>(</w:t>
      </w:r>
      <w:r w:rsidR="006E46A4">
        <w:rPr>
          <w:rFonts w:ascii="Calibri" w:hAnsi="Calibri" w:cs="Calibri"/>
          <w:sz w:val="24"/>
          <w:szCs w:val="24"/>
        </w:rPr>
        <w:t>36.9</w:t>
      </w:r>
      <w:r w:rsidR="006731AC">
        <w:rPr>
          <w:rFonts w:ascii="Calibri" w:hAnsi="Calibri" w:cs="Calibri"/>
          <w:sz w:val="24"/>
          <w:szCs w:val="24"/>
        </w:rPr>
        <w:t>)</w:t>
      </w:r>
      <w:r w:rsidR="006E46A4">
        <w:rPr>
          <w:rFonts w:ascii="Calibri" w:hAnsi="Calibri" w:cs="Calibri"/>
          <w:sz w:val="24"/>
          <w:szCs w:val="24"/>
        </w:rPr>
        <w:t xml:space="preserve"> </w:t>
      </w:r>
      <w:r w:rsidR="006E46A4" w:rsidRPr="006E46A4">
        <w:rPr>
          <w:rFonts w:ascii="Calibri" w:hAnsi="Calibri" w:cs="Calibri"/>
          <w:sz w:val="24"/>
          <w:szCs w:val="24"/>
        </w:rPr>
        <w:t xml:space="preserve">with a percentage of </w:t>
      </w:r>
      <w:r w:rsidR="006731AC">
        <w:rPr>
          <w:rFonts w:ascii="Calibri" w:hAnsi="Calibri" w:cs="Calibri"/>
          <w:sz w:val="24"/>
          <w:szCs w:val="24"/>
        </w:rPr>
        <w:t>(</w:t>
      </w:r>
      <w:r w:rsidR="006E46A4" w:rsidRPr="006E46A4">
        <w:rPr>
          <w:rFonts w:ascii="Calibri" w:hAnsi="Calibri" w:cs="Calibri"/>
          <w:sz w:val="24"/>
          <w:szCs w:val="24"/>
        </w:rPr>
        <w:t>36.2</w:t>
      </w:r>
      <w:r w:rsidR="006731AC">
        <w:rPr>
          <w:rFonts w:ascii="Calibri" w:hAnsi="Calibri" w:cs="Calibri"/>
          <w:sz w:val="24"/>
          <w:szCs w:val="24"/>
        </w:rPr>
        <w:t>)</w:t>
      </w:r>
      <w:r w:rsidR="006E46A4" w:rsidRPr="006E46A4">
        <w:rPr>
          <w:rFonts w:ascii="Calibri" w:hAnsi="Calibri" w:cs="Calibri"/>
          <w:sz w:val="24"/>
          <w:szCs w:val="24"/>
        </w:rPr>
        <w:t xml:space="preserve">.  </w:t>
      </w:r>
      <w:r w:rsidR="001B70B4" w:rsidRPr="006E46A4">
        <w:rPr>
          <w:rFonts w:ascii="Calibri" w:hAnsi="Calibri" w:cs="Calibri"/>
          <w:sz w:val="24"/>
          <w:szCs w:val="24"/>
        </w:rPr>
        <w:t>A grade-level participation rate of at least 60% is needed for the data to be generalized to the county; otherwise, the data in that grade represents the students who participated in the survey.</w:t>
      </w:r>
      <w:r w:rsidRPr="006E46A4">
        <w:rPr>
          <w:rFonts w:ascii="Calibri" w:hAnsi="Calibri" w:cs="Calibri"/>
          <w:sz w:val="24"/>
          <w:szCs w:val="24"/>
        </w:rPr>
        <w:t xml:space="preserve"> </w:t>
      </w:r>
    </w:p>
    <w:p w:rsidR="004A1E54" w:rsidRDefault="004A1E54">
      <w:pPr>
        <w:rPr>
          <w:rFonts w:cstheme="minorHAnsi"/>
          <w:b/>
          <w:sz w:val="24"/>
          <w:szCs w:val="24"/>
        </w:rPr>
      </w:pPr>
      <w:r>
        <w:rPr>
          <w:rFonts w:cstheme="minorHAnsi"/>
          <w:b/>
          <w:sz w:val="24"/>
          <w:szCs w:val="24"/>
        </w:rPr>
        <w:br w:type="page"/>
      </w:r>
    </w:p>
    <w:p w:rsidR="001B70B4" w:rsidRPr="000E3A78" w:rsidRDefault="001B70B4" w:rsidP="001B70B4">
      <w:pPr>
        <w:widowControl w:val="0"/>
        <w:spacing w:line="240" w:lineRule="auto"/>
        <w:contextualSpacing/>
        <w:rPr>
          <w:rFonts w:ascii="Calibri" w:hAnsi="Calibri" w:cs="Calibri"/>
          <w:sz w:val="24"/>
          <w:szCs w:val="24"/>
        </w:rPr>
      </w:pPr>
      <w:r w:rsidRPr="003C5252">
        <w:rPr>
          <w:rFonts w:cstheme="minorHAnsi"/>
          <w:b/>
          <w:sz w:val="24"/>
          <w:szCs w:val="24"/>
        </w:rPr>
        <w:lastRenderedPageBreak/>
        <w:t>Adult Alcohol Consumption Data</w:t>
      </w:r>
    </w:p>
    <w:p w:rsidR="001B70B4" w:rsidRPr="000E3A78" w:rsidRDefault="001B70B4" w:rsidP="001B70B4">
      <w:pPr>
        <w:spacing w:line="240" w:lineRule="auto"/>
        <w:contextualSpacing/>
        <w:rPr>
          <w:rFonts w:cstheme="minorHAnsi"/>
          <w:b/>
          <w:sz w:val="24"/>
          <w:szCs w:val="24"/>
        </w:rPr>
      </w:pPr>
      <w:r w:rsidRPr="003C5252">
        <w:rPr>
          <w:rFonts w:cstheme="minorHAnsi"/>
          <w:b/>
          <w:sz w:val="24"/>
          <w:szCs w:val="24"/>
        </w:rPr>
        <w:t xml:space="preserve">Table 5:  Adult Consumption </w:t>
      </w:r>
    </w:p>
    <w:tbl>
      <w:tblPr>
        <w:tblStyle w:val="MediumShading112"/>
        <w:tblpPr w:leftFromText="180" w:rightFromText="180" w:vertAnchor="text" w:horzAnchor="margin" w:tblpXSpec="center" w:tblpY="323"/>
        <w:tblW w:w="0" w:type="auto"/>
        <w:tblLayout w:type="fixed"/>
        <w:tblLook w:val="04A0" w:firstRow="1" w:lastRow="0" w:firstColumn="1" w:lastColumn="0" w:noHBand="0" w:noVBand="1"/>
      </w:tblPr>
      <w:tblGrid>
        <w:gridCol w:w="1127"/>
        <w:gridCol w:w="1080"/>
        <w:gridCol w:w="1080"/>
        <w:gridCol w:w="516"/>
        <w:gridCol w:w="535"/>
        <w:gridCol w:w="1109"/>
        <w:gridCol w:w="1080"/>
        <w:gridCol w:w="1080"/>
        <w:gridCol w:w="27"/>
      </w:tblGrid>
      <w:tr w:rsidR="00BE7D81" w:rsidRPr="003C5252" w:rsidTr="008148C4">
        <w:trPr>
          <w:cnfStyle w:val="100000000000" w:firstRow="1" w:lastRow="0" w:firstColumn="0" w:lastColumn="0" w:oddVBand="0" w:evenVBand="0" w:oddHBand="0"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127" w:type="dxa"/>
            <w:shd w:val="clear" w:color="auto" w:fill="BFBFBF" w:themeFill="background1" w:themeFillShade="BF"/>
            <w:hideMark/>
          </w:tcPr>
          <w:p w:rsidR="00BE7D81" w:rsidRPr="003C5252" w:rsidRDefault="00BE7D81" w:rsidP="001237B1"/>
        </w:tc>
        <w:tc>
          <w:tcPr>
            <w:tcW w:w="3211" w:type="dxa"/>
            <w:gridSpan w:val="4"/>
            <w:vAlign w:val="center"/>
            <w:hideMark/>
          </w:tcPr>
          <w:p w:rsidR="00BE7D81" w:rsidRPr="003C5252" w:rsidRDefault="00BE7D81" w:rsidP="001237B1">
            <w:pPr>
              <w:widowControl w:val="0"/>
              <w:jc w:val="center"/>
              <w:cnfStyle w:val="100000000000" w:firstRow="1" w:lastRow="0" w:firstColumn="0" w:lastColumn="0" w:oddVBand="0" w:evenVBand="0" w:oddHBand="0" w:evenHBand="0" w:firstRowFirstColumn="0" w:firstRowLastColumn="0" w:lastRowFirstColumn="0" w:lastRowLastColumn="0"/>
              <w:rPr>
                <w:rFonts w:eastAsia="Times New Roman" w:cs="Calibri"/>
                <w:kern w:val="28"/>
                <w:sz w:val="24"/>
                <w:szCs w:val="24"/>
              </w:rPr>
            </w:pPr>
            <w:r w:rsidRPr="003C5252">
              <w:rPr>
                <w:rFonts w:eastAsia="Times New Roman" w:cs="Calibri"/>
                <w:kern w:val="28"/>
                <w:sz w:val="24"/>
                <w:szCs w:val="24"/>
              </w:rPr>
              <w:t>Adult Heavy/Chronic Drinking</w:t>
            </w:r>
          </w:p>
        </w:tc>
        <w:tc>
          <w:tcPr>
            <w:tcW w:w="3296" w:type="dxa"/>
            <w:gridSpan w:val="4"/>
            <w:vAlign w:val="center"/>
            <w:hideMark/>
          </w:tcPr>
          <w:p w:rsidR="00BE7D81" w:rsidRPr="003C5252" w:rsidRDefault="00BE7D81" w:rsidP="001237B1">
            <w:pPr>
              <w:widowControl w:val="0"/>
              <w:jc w:val="center"/>
              <w:cnfStyle w:val="100000000000" w:firstRow="1" w:lastRow="0" w:firstColumn="0" w:lastColumn="0" w:oddVBand="0" w:evenVBand="0" w:oddHBand="0" w:evenHBand="0" w:firstRowFirstColumn="0" w:firstRowLastColumn="0" w:lastRowFirstColumn="0" w:lastRowLastColumn="0"/>
              <w:rPr>
                <w:rFonts w:eastAsia="Times New Roman" w:cs="Calibri"/>
                <w:kern w:val="28"/>
                <w:sz w:val="24"/>
                <w:szCs w:val="24"/>
              </w:rPr>
            </w:pPr>
            <w:r w:rsidRPr="003C5252">
              <w:rPr>
                <w:rFonts w:eastAsia="Times New Roman" w:cs="Calibri"/>
                <w:kern w:val="28"/>
                <w:sz w:val="24"/>
                <w:szCs w:val="24"/>
              </w:rPr>
              <w:t>Adult Binge Drinking</w:t>
            </w:r>
          </w:p>
        </w:tc>
      </w:tr>
      <w:tr w:rsidR="008148C4" w:rsidRPr="003C5252" w:rsidTr="008148C4">
        <w:trPr>
          <w:gridAfter w:val="1"/>
          <w:cnfStyle w:val="000000100000" w:firstRow="0" w:lastRow="0" w:firstColumn="0" w:lastColumn="0" w:oddVBand="0" w:evenVBand="0" w:oddHBand="1" w:evenHBand="0" w:firstRowFirstColumn="0" w:firstRowLastColumn="0" w:lastRowFirstColumn="0" w:lastRowLastColumn="0"/>
          <w:wAfter w:w="27" w:type="dxa"/>
          <w:trHeight w:val="302"/>
        </w:trPr>
        <w:tc>
          <w:tcPr>
            <w:cnfStyle w:val="001000000000" w:firstRow="0" w:lastRow="0" w:firstColumn="1" w:lastColumn="0" w:oddVBand="0" w:evenVBand="0" w:oddHBand="0" w:evenHBand="0" w:firstRowFirstColumn="0" w:firstRowLastColumn="0" w:lastRowFirstColumn="0" w:lastRowLastColumn="0"/>
            <w:tcW w:w="1127"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tcPr>
          <w:p w:rsidR="00BE7D81" w:rsidRPr="003C5252" w:rsidRDefault="00BE7D81" w:rsidP="001237B1">
            <w:pPr>
              <w:widowControl w:val="0"/>
              <w:rPr>
                <w:rFonts w:eastAsia="Times New Roman" w:cs="Calibri"/>
                <w:kern w:val="28"/>
                <w:sz w:val="24"/>
                <w:szCs w:val="24"/>
              </w:rPr>
            </w:pPr>
          </w:p>
        </w:tc>
        <w:tc>
          <w:tcPr>
            <w:tcW w:w="1080" w:type="dxa"/>
            <w:tcBorders>
              <w:top w:val="single" w:sz="8" w:space="0" w:color="404040" w:themeColor="text1" w:themeTint="BF"/>
            </w:tcBorders>
            <w:shd w:val="clear" w:color="auto" w:fill="DBE5F1" w:themeFill="accent1" w:themeFillTint="33"/>
          </w:tcPr>
          <w:p w:rsidR="00BE7D81" w:rsidRPr="00BE7D81" w:rsidRDefault="00BE7D81"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sidRPr="00BE7D81">
              <w:rPr>
                <w:rFonts w:eastAsia="Times New Roman" w:cs="Calibri"/>
                <w:color w:val="000000"/>
                <w:kern w:val="28"/>
                <w:sz w:val="22"/>
                <w:szCs w:val="22"/>
              </w:rPr>
              <w:t>2013</w:t>
            </w:r>
          </w:p>
        </w:tc>
        <w:tc>
          <w:tcPr>
            <w:tcW w:w="1080" w:type="dxa"/>
            <w:tcBorders>
              <w:top w:val="single" w:sz="8" w:space="0" w:color="404040" w:themeColor="text1" w:themeTint="BF"/>
            </w:tcBorders>
            <w:shd w:val="clear" w:color="auto" w:fill="DBE5F1" w:themeFill="accent1" w:themeFillTint="33"/>
          </w:tcPr>
          <w:p w:rsidR="00BE7D81" w:rsidRPr="00BE7D81" w:rsidRDefault="00BE7D81"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sidRPr="00BE7D81">
              <w:rPr>
                <w:rFonts w:eastAsia="Times New Roman" w:cs="Calibri"/>
                <w:color w:val="000000"/>
                <w:kern w:val="28"/>
                <w:sz w:val="22"/>
                <w:szCs w:val="22"/>
              </w:rPr>
              <w:t>2015</w:t>
            </w:r>
          </w:p>
        </w:tc>
        <w:tc>
          <w:tcPr>
            <w:tcW w:w="1051" w:type="dxa"/>
            <w:gridSpan w:val="2"/>
            <w:tcBorders>
              <w:top w:val="single" w:sz="8" w:space="0" w:color="404040" w:themeColor="text1" w:themeTint="BF"/>
            </w:tcBorders>
            <w:shd w:val="clear" w:color="auto" w:fill="DBE5F1" w:themeFill="accent1" w:themeFillTint="33"/>
          </w:tcPr>
          <w:p w:rsidR="00BE7D81" w:rsidRPr="00BE7D81" w:rsidRDefault="00BE7D81"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sidRPr="00BE7D81">
              <w:rPr>
                <w:rFonts w:eastAsia="Times New Roman" w:cs="Calibri"/>
                <w:color w:val="000000"/>
                <w:kern w:val="28"/>
                <w:sz w:val="22"/>
                <w:szCs w:val="22"/>
              </w:rPr>
              <w:t>2016</w:t>
            </w:r>
          </w:p>
        </w:tc>
        <w:tc>
          <w:tcPr>
            <w:tcW w:w="1109" w:type="dxa"/>
            <w:tcBorders>
              <w:top w:val="single" w:sz="8" w:space="0" w:color="404040" w:themeColor="text1" w:themeTint="BF"/>
            </w:tcBorders>
            <w:shd w:val="clear" w:color="auto" w:fill="FFFFFF" w:themeFill="background1"/>
          </w:tcPr>
          <w:p w:rsidR="00BE7D81" w:rsidRPr="00BE7D81" w:rsidRDefault="00BE7D81"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sidRPr="00BE7D81">
              <w:rPr>
                <w:rFonts w:eastAsia="Times New Roman" w:cs="Calibri"/>
                <w:color w:val="000000"/>
                <w:kern w:val="28"/>
                <w:sz w:val="22"/>
                <w:szCs w:val="22"/>
              </w:rPr>
              <w:t>2013</w:t>
            </w:r>
          </w:p>
        </w:tc>
        <w:tc>
          <w:tcPr>
            <w:tcW w:w="1080" w:type="dxa"/>
            <w:tcBorders>
              <w:top w:val="single" w:sz="8" w:space="0" w:color="404040" w:themeColor="text1" w:themeTint="BF"/>
            </w:tcBorders>
            <w:shd w:val="clear" w:color="auto" w:fill="FFFFFF" w:themeFill="background1"/>
          </w:tcPr>
          <w:p w:rsidR="00BE7D81" w:rsidRPr="00BE7D81" w:rsidRDefault="000F08D3"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2015</w:t>
            </w:r>
          </w:p>
        </w:tc>
        <w:tc>
          <w:tcPr>
            <w:tcW w:w="1080" w:type="dxa"/>
            <w:tcBorders>
              <w:top w:val="single" w:sz="8" w:space="0" w:color="404040" w:themeColor="text1" w:themeTint="BF"/>
            </w:tcBorders>
            <w:shd w:val="clear" w:color="auto" w:fill="FFFFFF" w:themeFill="background1"/>
          </w:tcPr>
          <w:p w:rsidR="00BE7D81" w:rsidRPr="00BE7D81" w:rsidRDefault="00BE7D81"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sidRPr="00BE7D81">
              <w:rPr>
                <w:rFonts w:eastAsia="Times New Roman" w:cs="Calibri"/>
                <w:color w:val="000000"/>
                <w:kern w:val="28"/>
                <w:sz w:val="22"/>
                <w:szCs w:val="22"/>
              </w:rPr>
              <w:t>2016</w:t>
            </w:r>
          </w:p>
        </w:tc>
      </w:tr>
      <w:tr w:rsidR="008148C4" w:rsidRPr="003C5252" w:rsidTr="008148C4">
        <w:trPr>
          <w:gridAfter w:val="1"/>
          <w:cnfStyle w:val="000000010000" w:firstRow="0" w:lastRow="0" w:firstColumn="0" w:lastColumn="0" w:oddVBand="0" w:evenVBand="0" w:oddHBand="0" w:evenHBand="1" w:firstRowFirstColumn="0" w:firstRowLastColumn="0" w:lastRowFirstColumn="0" w:lastRowLastColumn="0"/>
          <w:wAfter w:w="27" w:type="dxa"/>
          <w:trHeight w:val="302"/>
        </w:trPr>
        <w:tc>
          <w:tcPr>
            <w:cnfStyle w:val="001000000000" w:firstRow="0" w:lastRow="0" w:firstColumn="1" w:lastColumn="0" w:oddVBand="0" w:evenVBand="0" w:oddHBand="0" w:evenHBand="0" w:firstRowFirstColumn="0" w:firstRowLastColumn="0" w:lastRowFirstColumn="0" w:lastRowLastColumn="0"/>
            <w:tcW w:w="1127"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hideMark/>
          </w:tcPr>
          <w:p w:rsidR="00BE7D81" w:rsidRPr="003C5252" w:rsidRDefault="00BE7D81" w:rsidP="001237B1">
            <w:pPr>
              <w:widowControl w:val="0"/>
              <w:rPr>
                <w:rFonts w:eastAsia="Times New Roman" w:cs="Calibri"/>
                <w:kern w:val="28"/>
                <w:sz w:val="24"/>
                <w:szCs w:val="24"/>
              </w:rPr>
            </w:pPr>
            <w:r w:rsidRPr="003C5252">
              <w:rPr>
                <w:rFonts w:eastAsia="Times New Roman" w:cs="Calibri"/>
                <w:kern w:val="28"/>
                <w:sz w:val="24"/>
                <w:szCs w:val="24"/>
              </w:rPr>
              <w:t>OK</w:t>
            </w:r>
          </w:p>
        </w:tc>
        <w:tc>
          <w:tcPr>
            <w:tcW w:w="1080" w:type="dxa"/>
            <w:shd w:val="clear" w:color="auto" w:fill="DBE5F1" w:themeFill="accent1" w:themeFillTint="33"/>
            <w:hideMark/>
          </w:tcPr>
          <w:p w:rsidR="00BE7D81" w:rsidRPr="00BE7D81" w:rsidRDefault="002929EA"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4.2 (A</w:t>
            </w:r>
            <w:r w:rsidR="00081645">
              <w:rPr>
                <w:rFonts w:eastAsia="Times New Roman" w:cs="Calibri"/>
                <w:color w:val="000000"/>
                <w:kern w:val="28"/>
                <w:sz w:val="22"/>
                <w:szCs w:val="22"/>
              </w:rPr>
              <w:t>)</w:t>
            </w:r>
          </w:p>
        </w:tc>
        <w:tc>
          <w:tcPr>
            <w:tcW w:w="1080" w:type="dxa"/>
            <w:shd w:val="clear" w:color="auto" w:fill="DBE5F1" w:themeFill="accent1" w:themeFillTint="33"/>
          </w:tcPr>
          <w:p w:rsidR="00BE7D81" w:rsidRPr="00BE7D81" w:rsidRDefault="002929EA" w:rsidP="002929EA">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4.2</w:t>
            </w:r>
            <w:r w:rsidR="00081645">
              <w:rPr>
                <w:rFonts w:eastAsia="Times New Roman" w:cs="Calibri"/>
                <w:color w:val="000000"/>
                <w:kern w:val="28"/>
                <w:sz w:val="22"/>
                <w:szCs w:val="22"/>
              </w:rPr>
              <w:t>(</w:t>
            </w:r>
            <w:r>
              <w:rPr>
                <w:rFonts w:eastAsia="Times New Roman" w:cs="Calibri"/>
                <w:color w:val="000000"/>
                <w:kern w:val="28"/>
                <w:sz w:val="22"/>
                <w:szCs w:val="22"/>
              </w:rPr>
              <w:t>A</w:t>
            </w:r>
            <w:r w:rsidR="00081645">
              <w:rPr>
                <w:rFonts w:eastAsia="Times New Roman" w:cs="Calibri"/>
                <w:color w:val="000000"/>
                <w:kern w:val="28"/>
                <w:sz w:val="22"/>
                <w:szCs w:val="22"/>
              </w:rPr>
              <w:t>)</w:t>
            </w:r>
          </w:p>
        </w:tc>
        <w:tc>
          <w:tcPr>
            <w:tcW w:w="1051" w:type="dxa"/>
            <w:gridSpan w:val="2"/>
            <w:shd w:val="clear" w:color="auto" w:fill="DBE5F1" w:themeFill="accent1" w:themeFillTint="33"/>
          </w:tcPr>
          <w:p w:rsidR="00BE7D81" w:rsidRPr="00BE7D81" w:rsidRDefault="002842F6" w:rsidP="002929EA">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3.7</w:t>
            </w:r>
            <w:r w:rsidR="00081645">
              <w:rPr>
                <w:rFonts w:eastAsia="Times New Roman" w:cs="Calibri"/>
                <w:color w:val="000000"/>
                <w:kern w:val="28"/>
                <w:sz w:val="22"/>
                <w:szCs w:val="22"/>
              </w:rPr>
              <w:t xml:space="preserve"> (</w:t>
            </w:r>
            <w:r w:rsidR="002929EA">
              <w:rPr>
                <w:rFonts w:eastAsia="Times New Roman" w:cs="Calibri"/>
                <w:color w:val="000000"/>
                <w:kern w:val="28"/>
                <w:sz w:val="22"/>
                <w:szCs w:val="22"/>
              </w:rPr>
              <w:t>A</w:t>
            </w:r>
            <w:r w:rsidR="00081645">
              <w:rPr>
                <w:rFonts w:eastAsia="Times New Roman" w:cs="Calibri"/>
                <w:color w:val="000000"/>
                <w:kern w:val="28"/>
                <w:sz w:val="22"/>
                <w:szCs w:val="22"/>
              </w:rPr>
              <w:t>)</w:t>
            </w:r>
          </w:p>
        </w:tc>
        <w:tc>
          <w:tcPr>
            <w:tcW w:w="1109" w:type="dxa"/>
            <w:shd w:val="clear" w:color="auto" w:fill="FFFFFF" w:themeFill="background1"/>
            <w:hideMark/>
          </w:tcPr>
          <w:p w:rsidR="00BE7D81" w:rsidRPr="00BE7D81" w:rsidRDefault="0083187B" w:rsidP="00BE7D8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12.7</w:t>
            </w:r>
            <w:r w:rsidR="00081645">
              <w:rPr>
                <w:rFonts w:eastAsia="Times New Roman" w:cs="Calibri"/>
                <w:color w:val="000000"/>
                <w:kern w:val="28"/>
                <w:sz w:val="22"/>
                <w:szCs w:val="22"/>
              </w:rPr>
              <w:t xml:space="preserve"> (B)</w:t>
            </w:r>
          </w:p>
        </w:tc>
        <w:tc>
          <w:tcPr>
            <w:tcW w:w="1080" w:type="dxa"/>
            <w:shd w:val="clear" w:color="auto" w:fill="FFFFFF" w:themeFill="background1"/>
          </w:tcPr>
          <w:p w:rsidR="00BE7D81" w:rsidRPr="00BE7D81" w:rsidRDefault="00367D27" w:rsidP="00BE7D8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13.1 (B</w:t>
            </w:r>
            <w:r w:rsidR="00081645">
              <w:rPr>
                <w:rFonts w:eastAsia="Times New Roman" w:cs="Calibri"/>
                <w:color w:val="000000"/>
                <w:kern w:val="28"/>
                <w:sz w:val="22"/>
                <w:szCs w:val="22"/>
              </w:rPr>
              <w:t>)</w:t>
            </w:r>
          </w:p>
        </w:tc>
        <w:tc>
          <w:tcPr>
            <w:tcW w:w="1080" w:type="dxa"/>
            <w:shd w:val="clear" w:color="auto" w:fill="FFFFFF" w:themeFill="background1"/>
          </w:tcPr>
          <w:p w:rsidR="00BE7D81" w:rsidRPr="00BE7D81" w:rsidRDefault="00367D27" w:rsidP="00BE7D8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11.9 (A</w:t>
            </w:r>
            <w:r w:rsidR="00081645">
              <w:rPr>
                <w:rFonts w:eastAsia="Times New Roman" w:cs="Calibri"/>
                <w:color w:val="000000"/>
                <w:kern w:val="28"/>
                <w:sz w:val="22"/>
                <w:szCs w:val="22"/>
              </w:rPr>
              <w:t>)</w:t>
            </w:r>
          </w:p>
        </w:tc>
      </w:tr>
      <w:tr w:rsidR="008148C4" w:rsidRPr="003C5252" w:rsidTr="001B572A">
        <w:trPr>
          <w:gridAfter w:val="1"/>
          <w:cnfStyle w:val="000000100000" w:firstRow="0" w:lastRow="0" w:firstColumn="0" w:lastColumn="0" w:oddVBand="0" w:evenVBand="0" w:oddHBand="1" w:evenHBand="0" w:firstRowFirstColumn="0" w:firstRowLastColumn="0" w:lastRowFirstColumn="0" w:lastRowLastColumn="0"/>
          <w:wAfter w:w="27" w:type="dxa"/>
          <w:trHeight w:val="302"/>
        </w:trPr>
        <w:tc>
          <w:tcPr>
            <w:cnfStyle w:val="001000000000" w:firstRow="0" w:lastRow="0" w:firstColumn="1" w:lastColumn="0" w:oddVBand="0" w:evenVBand="0" w:oddHBand="0" w:evenHBand="0" w:firstRowFirstColumn="0" w:firstRowLastColumn="0" w:lastRowFirstColumn="0" w:lastRowLastColumn="0"/>
            <w:tcW w:w="1127"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hideMark/>
          </w:tcPr>
          <w:p w:rsidR="00BE7D81" w:rsidRPr="003C5252" w:rsidRDefault="00BE7D81" w:rsidP="001237B1">
            <w:pPr>
              <w:widowControl w:val="0"/>
              <w:rPr>
                <w:rFonts w:eastAsia="Times New Roman" w:cs="Calibri"/>
                <w:kern w:val="28"/>
                <w:sz w:val="24"/>
                <w:szCs w:val="24"/>
              </w:rPr>
            </w:pPr>
            <w:r w:rsidRPr="003C5252">
              <w:rPr>
                <w:rFonts w:eastAsia="Times New Roman" w:cs="Calibri"/>
                <w:kern w:val="28"/>
                <w:sz w:val="24"/>
                <w:szCs w:val="24"/>
              </w:rPr>
              <w:t>Bryan</w:t>
            </w:r>
          </w:p>
        </w:tc>
        <w:tc>
          <w:tcPr>
            <w:tcW w:w="1080" w:type="dxa"/>
            <w:shd w:val="clear" w:color="auto" w:fill="DBE5F1" w:themeFill="accent1" w:themeFillTint="33"/>
            <w:vAlign w:val="center"/>
            <w:hideMark/>
          </w:tcPr>
          <w:p w:rsidR="00BE7D81" w:rsidRPr="00BE7D81" w:rsidRDefault="001B572A" w:rsidP="001B572A">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3.6</w:t>
            </w:r>
            <w:r w:rsidR="00081645">
              <w:rPr>
                <w:rFonts w:eastAsia="Times New Roman" w:cs="Calibri"/>
                <w:color w:val="000000"/>
                <w:kern w:val="28"/>
                <w:sz w:val="22"/>
                <w:szCs w:val="22"/>
              </w:rPr>
              <w:t xml:space="preserve"> (A)</w:t>
            </w:r>
          </w:p>
        </w:tc>
        <w:tc>
          <w:tcPr>
            <w:tcW w:w="1080" w:type="dxa"/>
            <w:shd w:val="clear" w:color="auto" w:fill="DBE5F1" w:themeFill="accent1" w:themeFillTint="33"/>
            <w:vAlign w:val="center"/>
          </w:tcPr>
          <w:p w:rsidR="00BE7D81" w:rsidRPr="00BE7D81" w:rsidRDefault="001B572A" w:rsidP="001B572A">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4.8</w:t>
            </w:r>
            <w:r w:rsidR="00081645">
              <w:rPr>
                <w:rFonts w:eastAsia="Times New Roman" w:cs="Calibri"/>
                <w:color w:val="000000"/>
                <w:kern w:val="28"/>
                <w:sz w:val="22"/>
                <w:szCs w:val="22"/>
              </w:rPr>
              <w:t xml:space="preserve"> (B)</w:t>
            </w:r>
          </w:p>
        </w:tc>
        <w:tc>
          <w:tcPr>
            <w:tcW w:w="1051" w:type="dxa"/>
            <w:gridSpan w:val="2"/>
            <w:shd w:val="clear" w:color="auto" w:fill="DBE5F1" w:themeFill="accent1" w:themeFillTint="33"/>
            <w:vAlign w:val="center"/>
          </w:tcPr>
          <w:p w:rsidR="00BE7D81" w:rsidRPr="00BE7D81" w:rsidRDefault="001B572A" w:rsidP="001B572A">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5.3</w:t>
            </w:r>
            <w:r w:rsidR="00081645">
              <w:rPr>
                <w:rFonts w:eastAsia="Times New Roman" w:cs="Calibri"/>
                <w:color w:val="000000"/>
                <w:kern w:val="28"/>
                <w:sz w:val="22"/>
                <w:szCs w:val="22"/>
              </w:rPr>
              <w:t xml:space="preserve"> (B)</w:t>
            </w:r>
          </w:p>
        </w:tc>
        <w:tc>
          <w:tcPr>
            <w:tcW w:w="1109" w:type="dxa"/>
            <w:shd w:val="clear" w:color="auto" w:fill="FFFFFF" w:themeFill="background1"/>
            <w:hideMark/>
          </w:tcPr>
          <w:p w:rsidR="00BE7D81" w:rsidRPr="00BE7D81" w:rsidRDefault="00316D31"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11.3</w:t>
            </w:r>
            <w:r w:rsidR="00081645">
              <w:rPr>
                <w:rFonts w:eastAsia="Times New Roman" w:cs="Calibri"/>
                <w:color w:val="000000"/>
                <w:kern w:val="28"/>
                <w:sz w:val="22"/>
                <w:szCs w:val="22"/>
              </w:rPr>
              <w:t xml:space="preserve"> (A)</w:t>
            </w:r>
          </w:p>
        </w:tc>
        <w:tc>
          <w:tcPr>
            <w:tcW w:w="1080" w:type="dxa"/>
            <w:shd w:val="clear" w:color="auto" w:fill="FFFFFF" w:themeFill="background1"/>
          </w:tcPr>
          <w:p w:rsidR="00BE7D81" w:rsidRPr="00BE7D81" w:rsidRDefault="00316D31"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13.2</w:t>
            </w:r>
            <w:r w:rsidR="00081645">
              <w:rPr>
                <w:rFonts w:eastAsia="Times New Roman" w:cs="Calibri"/>
                <w:color w:val="000000"/>
                <w:kern w:val="28"/>
                <w:sz w:val="22"/>
                <w:szCs w:val="22"/>
              </w:rPr>
              <w:t xml:space="preserve"> (B)</w:t>
            </w:r>
          </w:p>
        </w:tc>
        <w:tc>
          <w:tcPr>
            <w:tcW w:w="1080" w:type="dxa"/>
            <w:shd w:val="clear" w:color="auto" w:fill="FFFFFF" w:themeFill="background1"/>
          </w:tcPr>
          <w:p w:rsidR="00BE7D81" w:rsidRPr="00BE7D81" w:rsidRDefault="00316D31"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11.8</w:t>
            </w:r>
            <w:r w:rsidR="00081645">
              <w:rPr>
                <w:rFonts w:eastAsia="Times New Roman" w:cs="Calibri"/>
                <w:color w:val="000000"/>
                <w:kern w:val="28"/>
                <w:sz w:val="22"/>
                <w:szCs w:val="22"/>
              </w:rPr>
              <w:t xml:space="preserve"> (A)</w:t>
            </w:r>
          </w:p>
        </w:tc>
      </w:tr>
      <w:tr w:rsidR="008148C4" w:rsidRPr="003C5252" w:rsidTr="001B572A">
        <w:trPr>
          <w:gridAfter w:val="1"/>
          <w:cnfStyle w:val="000000010000" w:firstRow="0" w:lastRow="0" w:firstColumn="0" w:lastColumn="0" w:oddVBand="0" w:evenVBand="0" w:oddHBand="0" w:evenHBand="1" w:firstRowFirstColumn="0" w:firstRowLastColumn="0" w:lastRowFirstColumn="0" w:lastRowLastColumn="0"/>
          <w:wAfter w:w="27" w:type="dxa"/>
          <w:trHeight w:val="302"/>
        </w:trPr>
        <w:tc>
          <w:tcPr>
            <w:cnfStyle w:val="001000000000" w:firstRow="0" w:lastRow="0" w:firstColumn="1" w:lastColumn="0" w:oddVBand="0" w:evenVBand="0" w:oddHBand="0" w:evenHBand="0" w:firstRowFirstColumn="0" w:firstRowLastColumn="0" w:lastRowFirstColumn="0" w:lastRowLastColumn="0"/>
            <w:tcW w:w="1127"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hideMark/>
          </w:tcPr>
          <w:p w:rsidR="00BE7D81" w:rsidRPr="003C5252" w:rsidRDefault="00BE7D81" w:rsidP="001237B1">
            <w:pPr>
              <w:widowControl w:val="0"/>
              <w:rPr>
                <w:rFonts w:eastAsia="Times New Roman" w:cs="Calibri"/>
                <w:kern w:val="28"/>
                <w:sz w:val="24"/>
                <w:szCs w:val="24"/>
              </w:rPr>
            </w:pPr>
            <w:r w:rsidRPr="003C5252">
              <w:rPr>
                <w:rFonts w:eastAsia="Times New Roman" w:cs="Calibri"/>
                <w:kern w:val="28"/>
                <w:sz w:val="24"/>
                <w:szCs w:val="24"/>
              </w:rPr>
              <w:t>Carter</w:t>
            </w:r>
          </w:p>
        </w:tc>
        <w:tc>
          <w:tcPr>
            <w:tcW w:w="1080" w:type="dxa"/>
            <w:shd w:val="clear" w:color="auto" w:fill="DBE5F1" w:themeFill="accent1" w:themeFillTint="33"/>
            <w:vAlign w:val="center"/>
            <w:hideMark/>
          </w:tcPr>
          <w:p w:rsidR="00BE7D81" w:rsidRPr="00BE7D81" w:rsidRDefault="001B572A" w:rsidP="001B572A">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2.8</w:t>
            </w:r>
            <w:r w:rsidR="00081645">
              <w:rPr>
                <w:rFonts w:eastAsia="Times New Roman" w:cs="Calibri"/>
                <w:color w:val="000000"/>
                <w:kern w:val="28"/>
                <w:sz w:val="22"/>
                <w:szCs w:val="22"/>
              </w:rPr>
              <w:t xml:space="preserve"> (A)</w:t>
            </w:r>
          </w:p>
        </w:tc>
        <w:tc>
          <w:tcPr>
            <w:tcW w:w="1080" w:type="dxa"/>
            <w:shd w:val="clear" w:color="auto" w:fill="DBE5F1" w:themeFill="accent1" w:themeFillTint="33"/>
            <w:vAlign w:val="center"/>
          </w:tcPr>
          <w:p w:rsidR="00BE7D81" w:rsidRPr="00BE7D81" w:rsidRDefault="001B572A" w:rsidP="001B572A">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3.4</w:t>
            </w:r>
            <w:r w:rsidR="00081645">
              <w:rPr>
                <w:rFonts w:eastAsia="Times New Roman" w:cs="Calibri"/>
                <w:color w:val="000000"/>
                <w:kern w:val="28"/>
                <w:sz w:val="22"/>
                <w:szCs w:val="22"/>
              </w:rPr>
              <w:t xml:space="preserve"> (A)</w:t>
            </w:r>
          </w:p>
        </w:tc>
        <w:tc>
          <w:tcPr>
            <w:tcW w:w="1051" w:type="dxa"/>
            <w:gridSpan w:val="2"/>
            <w:shd w:val="clear" w:color="auto" w:fill="DBE5F1" w:themeFill="accent1" w:themeFillTint="33"/>
            <w:vAlign w:val="center"/>
          </w:tcPr>
          <w:p w:rsidR="00BE7D81" w:rsidRPr="00BE7D81" w:rsidRDefault="001B572A" w:rsidP="001B572A">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3.4</w:t>
            </w:r>
            <w:r w:rsidR="00081645">
              <w:rPr>
                <w:rFonts w:eastAsia="Times New Roman" w:cs="Calibri"/>
                <w:color w:val="000000"/>
                <w:kern w:val="28"/>
                <w:sz w:val="22"/>
                <w:szCs w:val="22"/>
              </w:rPr>
              <w:t xml:space="preserve"> (A)</w:t>
            </w:r>
          </w:p>
        </w:tc>
        <w:tc>
          <w:tcPr>
            <w:tcW w:w="1109" w:type="dxa"/>
            <w:shd w:val="clear" w:color="auto" w:fill="FFFFFF" w:themeFill="background1"/>
            <w:hideMark/>
          </w:tcPr>
          <w:p w:rsidR="00BE7D81" w:rsidRPr="00BE7D81" w:rsidRDefault="00316D31"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8.0</w:t>
            </w:r>
            <w:r w:rsidR="00081645">
              <w:rPr>
                <w:rFonts w:eastAsia="Times New Roman" w:cs="Calibri"/>
                <w:color w:val="000000"/>
                <w:kern w:val="28"/>
                <w:sz w:val="22"/>
                <w:szCs w:val="22"/>
              </w:rPr>
              <w:t xml:space="preserve"> (A)</w:t>
            </w:r>
          </w:p>
        </w:tc>
        <w:tc>
          <w:tcPr>
            <w:tcW w:w="1080" w:type="dxa"/>
            <w:shd w:val="clear" w:color="auto" w:fill="FFFFFF" w:themeFill="background1"/>
          </w:tcPr>
          <w:p w:rsidR="00BE7D81" w:rsidRPr="00BE7D81" w:rsidRDefault="00316D31"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7.9</w:t>
            </w:r>
            <w:r w:rsidR="00081645">
              <w:rPr>
                <w:rFonts w:eastAsia="Times New Roman" w:cs="Calibri"/>
                <w:color w:val="000000"/>
                <w:kern w:val="28"/>
                <w:sz w:val="22"/>
                <w:szCs w:val="22"/>
              </w:rPr>
              <w:t xml:space="preserve"> (A)</w:t>
            </w:r>
          </w:p>
        </w:tc>
        <w:tc>
          <w:tcPr>
            <w:tcW w:w="1080" w:type="dxa"/>
            <w:shd w:val="clear" w:color="auto" w:fill="FFFFFF" w:themeFill="background1"/>
          </w:tcPr>
          <w:p w:rsidR="00BE7D81" w:rsidRPr="00BE7D81" w:rsidRDefault="00316D31"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7.6</w:t>
            </w:r>
            <w:r w:rsidR="00081645">
              <w:rPr>
                <w:rFonts w:eastAsia="Times New Roman" w:cs="Calibri"/>
                <w:color w:val="000000"/>
                <w:kern w:val="28"/>
                <w:sz w:val="22"/>
                <w:szCs w:val="22"/>
              </w:rPr>
              <w:t xml:space="preserve"> (A)</w:t>
            </w:r>
          </w:p>
        </w:tc>
      </w:tr>
      <w:tr w:rsidR="008148C4" w:rsidRPr="003C5252" w:rsidTr="001B572A">
        <w:trPr>
          <w:gridAfter w:val="1"/>
          <w:cnfStyle w:val="000000100000" w:firstRow="0" w:lastRow="0" w:firstColumn="0" w:lastColumn="0" w:oddVBand="0" w:evenVBand="0" w:oddHBand="1" w:evenHBand="0" w:firstRowFirstColumn="0" w:firstRowLastColumn="0" w:lastRowFirstColumn="0" w:lastRowLastColumn="0"/>
          <w:wAfter w:w="27" w:type="dxa"/>
          <w:trHeight w:val="302"/>
        </w:trPr>
        <w:tc>
          <w:tcPr>
            <w:cnfStyle w:val="001000000000" w:firstRow="0" w:lastRow="0" w:firstColumn="1" w:lastColumn="0" w:oddVBand="0" w:evenVBand="0" w:oddHBand="0" w:evenHBand="0" w:firstRowFirstColumn="0" w:firstRowLastColumn="0" w:lastRowFirstColumn="0" w:lastRowLastColumn="0"/>
            <w:tcW w:w="1127"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hideMark/>
          </w:tcPr>
          <w:p w:rsidR="00BE7D81" w:rsidRPr="003C5252" w:rsidRDefault="00BE7D81" w:rsidP="001237B1">
            <w:pPr>
              <w:widowControl w:val="0"/>
              <w:rPr>
                <w:rFonts w:eastAsia="Times New Roman" w:cs="Calibri"/>
                <w:kern w:val="28"/>
                <w:sz w:val="24"/>
                <w:szCs w:val="24"/>
              </w:rPr>
            </w:pPr>
            <w:r w:rsidRPr="003C5252">
              <w:rPr>
                <w:rFonts w:eastAsia="Times New Roman" w:cs="Calibri"/>
                <w:kern w:val="28"/>
                <w:sz w:val="24"/>
                <w:szCs w:val="24"/>
              </w:rPr>
              <w:t>Garvin</w:t>
            </w:r>
          </w:p>
        </w:tc>
        <w:tc>
          <w:tcPr>
            <w:tcW w:w="1080" w:type="dxa"/>
            <w:shd w:val="clear" w:color="auto" w:fill="DBE5F1" w:themeFill="accent1" w:themeFillTint="33"/>
            <w:vAlign w:val="center"/>
            <w:hideMark/>
          </w:tcPr>
          <w:p w:rsidR="00BE7D81" w:rsidRPr="00BE7D81" w:rsidRDefault="001B572A" w:rsidP="001B572A">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2.2</w:t>
            </w:r>
            <w:r w:rsidR="00081645">
              <w:rPr>
                <w:rFonts w:eastAsia="Times New Roman" w:cs="Calibri"/>
                <w:color w:val="000000"/>
                <w:kern w:val="28"/>
                <w:sz w:val="22"/>
                <w:szCs w:val="22"/>
              </w:rPr>
              <w:t xml:space="preserve"> (A)</w:t>
            </w:r>
          </w:p>
        </w:tc>
        <w:tc>
          <w:tcPr>
            <w:tcW w:w="1080" w:type="dxa"/>
            <w:shd w:val="clear" w:color="auto" w:fill="DBE5F1" w:themeFill="accent1" w:themeFillTint="33"/>
            <w:vAlign w:val="center"/>
          </w:tcPr>
          <w:p w:rsidR="00BE7D81" w:rsidRPr="00BE7D81" w:rsidRDefault="001B572A" w:rsidP="001B572A">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2.3</w:t>
            </w:r>
            <w:r w:rsidR="00081645">
              <w:rPr>
                <w:rFonts w:eastAsia="Times New Roman" w:cs="Calibri"/>
                <w:color w:val="000000"/>
                <w:kern w:val="28"/>
                <w:sz w:val="22"/>
                <w:szCs w:val="22"/>
              </w:rPr>
              <w:t xml:space="preserve"> (A)</w:t>
            </w:r>
          </w:p>
        </w:tc>
        <w:tc>
          <w:tcPr>
            <w:tcW w:w="1051" w:type="dxa"/>
            <w:gridSpan w:val="2"/>
            <w:shd w:val="clear" w:color="auto" w:fill="DBE5F1" w:themeFill="accent1" w:themeFillTint="33"/>
            <w:vAlign w:val="center"/>
          </w:tcPr>
          <w:p w:rsidR="00BE7D81" w:rsidRPr="00BE7D81" w:rsidRDefault="001B572A" w:rsidP="001B572A">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3.0</w:t>
            </w:r>
            <w:r w:rsidR="00081645">
              <w:rPr>
                <w:rFonts w:eastAsia="Times New Roman" w:cs="Calibri"/>
                <w:color w:val="000000"/>
                <w:kern w:val="28"/>
                <w:sz w:val="22"/>
                <w:szCs w:val="22"/>
              </w:rPr>
              <w:t xml:space="preserve"> (A)</w:t>
            </w:r>
          </w:p>
        </w:tc>
        <w:tc>
          <w:tcPr>
            <w:tcW w:w="1109" w:type="dxa"/>
            <w:shd w:val="clear" w:color="auto" w:fill="FFFFFF" w:themeFill="background1"/>
            <w:hideMark/>
          </w:tcPr>
          <w:p w:rsidR="00BE7D81" w:rsidRPr="00BE7D81" w:rsidRDefault="00316D31"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6.4</w:t>
            </w:r>
            <w:r w:rsidR="00081645">
              <w:rPr>
                <w:rFonts w:eastAsia="Times New Roman" w:cs="Calibri"/>
                <w:color w:val="000000"/>
                <w:kern w:val="28"/>
                <w:sz w:val="22"/>
                <w:szCs w:val="22"/>
              </w:rPr>
              <w:t xml:space="preserve"> (A)</w:t>
            </w:r>
          </w:p>
        </w:tc>
        <w:tc>
          <w:tcPr>
            <w:tcW w:w="1080" w:type="dxa"/>
            <w:shd w:val="clear" w:color="auto" w:fill="FFFFFF" w:themeFill="background1"/>
          </w:tcPr>
          <w:p w:rsidR="00BE7D81" w:rsidRPr="00BE7D81" w:rsidRDefault="00316D31"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6.7</w:t>
            </w:r>
            <w:r w:rsidR="00081645">
              <w:rPr>
                <w:rFonts w:eastAsia="Times New Roman" w:cs="Calibri"/>
                <w:color w:val="000000"/>
                <w:kern w:val="28"/>
                <w:sz w:val="22"/>
                <w:szCs w:val="22"/>
              </w:rPr>
              <w:t xml:space="preserve"> (A)</w:t>
            </w:r>
          </w:p>
        </w:tc>
        <w:tc>
          <w:tcPr>
            <w:tcW w:w="1080" w:type="dxa"/>
            <w:shd w:val="clear" w:color="auto" w:fill="FFFFFF" w:themeFill="background1"/>
          </w:tcPr>
          <w:p w:rsidR="00BE7D81" w:rsidRPr="00BE7D81" w:rsidRDefault="00316D31"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7.9</w:t>
            </w:r>
            <w:r w:rsidR="00081645">
              <w:rPr>
                <w:rFonts w:eastAsia="Times New Roman" w:cs="Calibri"/>
                <w:color w:val="000000"/>
                <w:kern w:val="28"/>
                <w:sz w:val="22"/>
                <w:szCs w:val="22"/>
              </w:rPr>
              <w:t xml:space="preserve"> (A)</w:t>
            </w:r>
          </w:p>
        </w:tc>
      </w:tr>
      <w:tr w:rsidR="008148C4" w:rsidRPr="003C5252" w:rsidTr="001B572A">
        <w:trPr>
          <w:gridAfter w:val="1"/>
          <w:cnfStyle w:val="000000010000" w:firstRow="0" w:lastRow="0" w:firstColumn="0" w:lastColumn="0" w:oddVBand="0" w:evenVBand="0" w:oddHBand="0" w:evenHBand="1" w:firstRowFirstColumn="0" w:firstRowLastColumn="0" w:lastRowFirstColumn="0" w:lastRowLastColumn="0"/>
          <w:wAfter w:w="27" w:type="dxa"/>
          <w:trHeight w:val="302"/>
        </w:trPr>
        <w:tc>
          <w:tcPr>
            <w:cnfStyle w:val="001000000000" w:firstRow="0" w:lastRow="0" w:firstColumn="1" w:lastColumn="0" w:oddVBand="0" w:evenVBand="0" w:oddHBand="0" w:evenHBand="0" w:firstRowFirstColumn="0" w:firstRowLastColumn="0" w:lastRowFirstColumn="0" w:lastRowLastColumn="0"/>
            <w:tcW w:w="1127"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hideMark/>
          </w:tcPr>
          <w:p w:rsidR="00BE7D81" w:rsidRPr="003C5252" w:rsidRDefault="00BE7D81" w:rsidP="001237B1">
            <w:pPr>
              <w:widowControl w:val="0"/>
              <w:rPr>
                <w:rFonts w:eastAsia="Times New Roman" w:cs="Calibri"/>
                <w:kern w:val="28"/>
                <w:sz w:val="24"/>
                <w:szCs w:val="24"/>
              </w:rPr>
            </w:pPr>
            <w:r w:rsidRPr="003C5252">
              <w:rPr>
                <w:rFonts w:eastAsia="Times New Roman" w:cs="Calibri"/>
                <w:kern w:val="28"/>
                <w:sz w:val="24"/>
                <w:szCs w:val="24"/>
              </w:rPr>
              <w:t>Johnston</w:t>
            </w:r>
          </w:p>
        </w:tc>
        <w:tc>
          <w:tcPr>
            <w:tcW w:w="1080" w:type="dxa"/>
            <w:shd w:val="clear" w:color="auto" w:fill="DBE5F1" w:themeFill="accent1" w:themeFillTint="33"/>
            <w:vAlign w:val="center"/>
            <w:hideMark/>
          </w:tcPr>
          <w:p w:rsidR="00BE7D81" w:rsidRPr="00BE7D81" w:rsidRDefault="001B572A" w:rsidP="001B572A">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3.5</w:t>
            </w:r>
            <w:r w:rsidR="00081645">
              <w:rPr>
                <w:rFonts w:eastAsia="Times New Roman" w:cs="Calibri"/>
                <w:color w:val="000000"/>
                <w:kern w:val="28"/>
                <w:sz w:val="22"/>
                <w:szCs w:val="22"/>
              </w:rPr>
              <w:t xml:space="preserve"> (A)</w:t>
            </w:r>
          </w:p>
        </w:tc>
        <w:tc>
          <w:tcPr>
            <w:tcW w:w="1080" w:type="dxa"/>
            <w:shd w:val="clear" w:color="auto" w:fill="DBE5F1" w:themeFill="accent1" w:themeFillTint="33"/>
            <w:vAlign w:val="center"/>
          </w:tcPr>
          <w:p w:rsidR="00BE7D81" w:rsidRPr="00BE7D81" w:rsidRDefault="001B572A" w:rsidP="001B572A">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3.6</w:t>
            </w:r>
            <w:r w:rsidR="00081645">
              <w:rPr>
                <w:rFonts w:eastAsia="Times New Roman" w:cs="Calibri"/>
                <w:color w:val="000000"/>
                <w:kern w:val="28"/>
                <w:sz w:val="22"/>
                <w:szCs w:val="22"/>
              </w:rPr>
              <w:t xml:space="preserve"> (A)</w:t>
            </w:r>
          </w:p>
        </w:tc>
        <w:tc>
          <w:tcPr>
            <w:tcW w:w="1051" w:type="dxa"/>
            <w:gridSpan w:val="2"/>
            <w:shd w:val="clear" w:color="auto" w:fill="DBE5F1" w:themeFill="accent1" w:themeFillTint="33"/>
            <w:vAlign w:val="center"/>
          </w:tcPr>
          <w:p w:rsidR="00BE7D81" w:rsidRPr="00BE7D81" w:rsidRDefault="001B572A" w:rsidP="001B572A">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3.4</w:t>
            </w:r>
            <w:r w:rsidR="00081645">
              <w:rPr>
                <w:rFonts w:eastAsia="Times New Roman" w:cs="Calibri"/>
                <w:color w:val="000000"/>
                <w:kern w:val="28"/>
                <w:sz w:val="22"/>
                <w:szCs w:val="22"/>
              </w:rPr>
              <w:t xml:space="preserve"> (A)</w:t>
            </w:r>
          </w:p>
        </w:tc>
        <w:tc>
          <w:tcPr>
            <w:tcW w:w="1109" w:type="dxa"/>
            <w:shd w:val="clear" w:color="auto" w:fill="FFFFFF" w:themeFill="background1"/>
            <w:hideMark/>
          </w:tcPr>
          <w:p w:rsidR="00BE7D81" w:rsidRPr="00BE7D81" w:rsidRDefault="00316D31"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15.8</w:t>
            </w:r>
            <w:r w:rsidR="00081645">
              <w:rPr>
                <w:rFonts w:eastAsia="Times New Roman" w:cs="Calibri"/>
                <w:color w:val="000000"/>
                <w:kern w:val="28"/>
                <w:sz w:val="22"/>
                <w:szCs w:val="22"/>
              </w:rPr>
              <w:t xml:space="preserve"> (C)</w:t>
            </w:r>
          </w:p>
        </w:tc>
        <w:tc>
          <w:tcPr>
            <w:tcW w:w="1080" w:type="dxa"/>
            <w:shd w:val="clear" w:color="auto" w:fill="FFFFFF" w:themeFill="background1"/>
          </w:tcPr>
          <w:p w:rsidR="00BE7D81" w:rsidRPr="00BE7D81" w:rsidRDefault="00316D31"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10.1</w:t>
            </w:r>
            <w:r w:rsidR="00081645">
              <w:rPr>
                <w:rFonts w:eastAsia="Times New Roman" w:cs="Calibri"/>
                <w:color w:val="000000"/>
                <w:kern w:val="28"/>
                <w:sz w:val="22"/>
                <w:szCs w:val="22"/>
              </w:rPr>
              <w:t xml:space="preserve"> (A)</w:t>
            </w:r>
          </w:p>
        </w:tc>
        <w:tc>
          <w:tcPr>
            <w:tcW w:w="1080" w:type="dxa"/>
            <w:shd w:val="clear" w:color="auto" w:fill="FFFFFF" w:themeFill="background1"/>
          </w:tcPr>
          <w:p w:rsidR="00BE7D81" w:rsidRPr="00BE7D81" w:rsidRDefault="00316D31"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9.0</w:t>
            </w:r>
            <w:r w:rsidR="00081645">
              <w:rPr>
                <w:rFonts w:eastAsia="Times New Roman" w:cs="Calibri"/>
                <w:color w:val="000000"/>
                <w:kern w:val="28"/>
                <w:sz w:val="22"/>
                <w:szCs w:val="22"/>
              </w:rPr>
              <w:t xml:space="preserve"> (A)</w:t>
            </w:r>
          </w:p>
        </w:tc>
      </w:tr>
      <w:tr w:rsidR="008148C4" w:rsidRPr="003C5252" w:rsidTr="001B572A">
        <w:trPr>
          <w:gridAfter w:val="1"/>
          <w:cnfStyle w:val="000000100000" w:firstRow="0" w:lastRow="0" w:firstColumn="0" w:lastColumn="0" w:oddVBand="0" w:evenVBand="0" w:oddHBand="1" w:evenHBand="0" w:firstRowFirstColumn="0" w:firstRowLastColumn="0" w:lastRowFirstColumn="0" w:lastRowLastColumn="0"/>
          <w:wAfter w:w="27" w:type="dxa"/>
          <w:trHeight w:val="302"/>
        </w:trPr>
        <w:tc>
          <w:tcPr>
            <w:cnfStyle w:val="001000000000" w:firstRow="0" w:lastRow="0" w:firstColumn="1" w:lastColumn="0" w:oddVBand="0" w:evenVBand="0" w:oddHBand="0" w:evenHBand="0" w:firstRowFirstColumn="0" w:firstRowLastColumn="0" w:lastRowFirstColumn="0" w:lastRowLastColumn="0"/>
            <w:tcW w:w="1127"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hideMark/>
          </w:tcPr>
          <w:p w:rsidR="00BE7D81" w:rsidRPr="003C5252" w:rsidRDefault="00BE7D81" w:rsidP="001237B1">
            <w:pPr>
              <w:widowControl w:val="0"/>
              <w:rPr>
                <w:rFonts w:eastAsia="Times New Roman" w:cs="Calibri"/>
                <w:kern w:val="28"/>
                <w:sz w:val="24"/>
                <w:szCs w:val="24"/>
              </w:rPr>
            </w:pPr>
            <w:r w:rsidRPr="003C5252">
              <w:rPr>
                <w:rFonts w:eastAsia="Times New Roman" w:cs="Calibri"/>
                <w:kern w:val="28"/>
                <w:sz w:val="24"/>
                <w:szCs w:val="24"/>
              </w:rPr>
              <w:t>Love</w:t>
            </w:r>
          </w:p>
        </w:tc>
        <w:tc>
          <w:tcPr>
            <w:tcW w:w="1080" w:type="dxa"/>
            <w:shd w:val="clear" w:color="auto" w:fill="DBE5F1" w:themeFill="accent1" w:themeFillTint="33"/>
            <w:vAlign w:val="center"/>
            <w:hideMark/>
          </w:tcPr>
          <w:p w:rsidR="00BE7D81" w:rsidRPr="00BE7D81" w:rsidRDefault="001B572A" w:rsidP="001B572A">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2.0</w:t>
            </w:r>
            <w:r w:rsidR="00081645">
              <w:rPr>
                <w:rFonts w:eastAsia="Times New Roman" w:cs="Calibri"/>
                <w:color w:val="000000"/>
                <w:kern w:val="28"/>
                <w:sz w:val="22"/>
                <w:szCs w:val="22"/>
              </w:rPr>
              <w:t xml:space="preserve"> (A)</w:t>
            </w:r>
          </w:p>
        </w:tc>
        <w:tc>
          <w:tcPr>
            <w:tcW w:w="1080" w:type="dxa"/>
            <w:shd w:val="clear" w:color="auto" w:fill="DBE5F1" w:themeFill="accent1" w:themeFillTint="33"/>
            <w:vAlign w:val="center"/>
          </w:tcPr>
          <w:p w:rsidR="00BE7D81" w:rsidRPr="00BE7D81" w:rsidRDefault="001B572A" w:rsidP="001B572A">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1.8</w:t>
            </w:r>
            <w:r w:rsidR="00081645">
              <w:rPr>
                <w:rFonts w:eastAsia="Times New Roman" w:cs="Calibri"/>
                <w:color w:val="000000"/>
                <w:kern w:val="28"/>
                <w:sz w:val="22"/>
                <w:szCs w:val="22"/>
              </w:rPr>
              <w:t xml:space="preserve"> (A)</w:t>
            </w:r>
          </w:p>
        </w:tc>
        <w:tc>
          <w:tcPr>
            <w:tcW w:w="1051" w:type="dxa"/>
            <w:gridSpan w:val="2"/>
            <w:shd w:val="clear" w:color="auto" w:fill="DBE5F1" w:themeFill="accent1" w:themeFillTint="33"/>
            <w:vAlign w:val="center"/>
          </w:tcPr>
          <w:p w:rsidR="00BE7D81" w:rsidRPr="00BE7D81" w:rsidRDefault="001B572A" w:rsidP="001B572A">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2.6</w:t>
            </w:r>
            <w:r w:rsidR="00081645">
              <w:rPr>
                <w:rFonts w:eastAsia="Times New Roman" w:cs="Calibri"/>
                <w:color w:val="000000"/>
                <w:kern w:val="28"/>
                <w:sz w:val="22"/>
                <w:szCs w:val="22"/>
              </w:rPr>
              <w:t xml:space="preserve"> (A)</w:t>
            </w:r>
          </w:p>
        </w:tc>
        <w:tc>
          <w:tcPr>
            <w:tcW w:w="1109" w:type="dxa"/>
            <w:shd w:val="clear" w:color="auto" w:fill="FFFFFF" w:themeFill="background1"/>
            <w:hideMark/>
          </w:tcPr>
          <w:p w:rsidR="00BE7D81" w:rsidRPr="00BE7D81" w:rsidRDefault="00316D31"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16.7</w:t>
            </w:r>
            <w:r w:rsidR="00081645">
              <w:rPr>
                <w:rFonts w:eastAsia="Times New Roman" w:cs="Calibri"/>
                <w:color w:val="000000"/>
                <w:kern w:val="28"/>
                <w:sz w:val="22"/>
                <w:szCs w:val="22"/>
              </w:rPr>
              <w:t xml:space="preserve"> (C)</w:t>
            </w:r>
          </w:p>
        </w:tc>
        <w:tc>
          <w:tcPr>
            <w:tcW w:w="1080" w:type="dxa"/>
            <w:shd w:val="clear" w:color="auto" w:fill="FFFFFF" w:themeFill="background1"/>
          </w:tcPr>
          <w:p w:rsidR="00BE7D81" w:rsidRPr="00BE7D81" w:rsidRDefault="00316D31"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9.8</w:t>
            </w:r>
            <w:r w:rsidR="00081645">
              <w:rPr>
                <w:rFonts w:eastAsia="Times New Roman" w:cs="Calibri"/>
                <w:color w:val="000000"/>
                <w:kern w:val="28"/>
                <w:sz w:val="22"/>
                <w:szCs w:val="22"/>
              </w:rPr>
              <w:t xml:space="preserve"> (A)</w:t>
            </w:r>
          </w:p>
        </w:tc>
        <w:tc>
          <w:tcPr>
            <w:tcW w:w="1080" w:type="dxa"/>
            <w:shd w:val="clear" w:color="auto" w:fill="FFFFFF" w:themeFill="background1"/>
          </w:tcPr>
          <w:p w:rsidR="00BE7D81" w:rsidRPr="00BE7D81" w:rsidRDefault="00316D31"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10.1</w:t>
            </w:r>
            <w:r w:rsidR="00081645">
              <w:rPr>
                <w:rFonts w:eastAsia="Times New Roman" w:cs="Calibri"/>
                <w:color w:val="000000"/>
                <w:kern w:val="28"/>
                <w:sz w:val="22"/>
                <w:szCs w:val="22"/>
              </w:rPr>
              <w:t xml:space="preserve"> (A)</w:t>
            </w:r>
          </w:p>
        </w:tc>
      </w:tr>
      <w:tr w:rsidR="008148C4" w:rsidRPr="003C5252" w:rsidTr="001B572A">
        <w:trPr>
          <w:gridAfter w:val="1"/>
          <w:cnfStyle w:val="000000010000" w:firstRow="0" w:lastRow="0" w:firstColumn="0" w:lastColumn="0" w:oddVBand="0" w:evenVBand="0" w:oddHBand="0" w:evenHBand="1" w:firstRowFirstColumn="0" w:firstRowLastColumn="0" w:lastRowFirstColumn="0" w:lastRowLastColumn="0"/>
          <w:wAfter w:w="27" w:type="dxa"/>
          <w:trHeight w:val="302"/>
        </w:trPr>
        <w:tc>
          <w:tcPr>
            <w:cnfStyle w:val="001000000000" w:firstRow="0" w:lastRow="0" w:firstColumn="1" w:lastColumn="0" w:oddVBand="0" w:evenVBand="0" w:oddHBand="0" w:evenHBand="0" w:firstRowFirstColumn="0" w:firstRowLastColumn="0" w:lastRowFirstColumn="0" w:lastRowLastColumn="0"/>
            <w:tcW w:w="1127"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hideMark/>
          </w:tcPr>
          <w:p w:rsidR="00BE7D81" w:rsidRPr="003C5252" w:rsidRDefault="00BE7D81" w:rsidP="001237B1">
            <w:pPr>
              <w:widowControl w:val="0"/>
              <w:rPr>
                <w:rFonts w:eastAsia="Times New Roman" w:cs="Calibri"/>
                <w:kern w:val="28"/>
                <w:sz w:val="24"/>
                <w:szCs w:val="24"/>
              </w:rPr>
            </w:pPr>
            <w:r w:rsidRPr="003C5252">
              <w:rPr>
                <w:rFonts w:eastAsia="Times New Roman" w:cs="Calibri"/>
                <w:kern w:val="28"/>
                <w:sz w:val="24"/>
                <w:szCs w:val="24"/>
              </w:rPr>
              <w:t>Marshall</w:t>
            </w:r>
          </w:p>
        </w:tc>
        <w:tc>
          <w:tcPr>
            <w:tcW w:w="1080" w:type="dxa"/>
            <w:shd w:val="clear" w:color="auto" w:fill="DBE5F1" w:themeFill="accent1" w:themeFillTint="33"/>
            <w:vAlign w:val="center"/>
            <w:hideMark/>
          </w:tcPr>
          <w:p w:rsidR="00BE7D81" w:rsidRPr="00BE7D81" w:rsidRDefault="001B572A" w:rsidP="001B572A">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 xml:space="preserve">3.3 </w:t>
            </w:r>
            <w:r w:rsidR="00081645">
              <w:rPr>
                <w:rFonts w:eastAsia="Times New Roman" w:cs="Calibri"/>
                <w:color w:val="000000"/>
                <w:kern w:val="28"/>
                <w:sz w:val="22"/>
                <w:szCs w:val="22"/>
              </w:rPr>
              <w:t>(A)</w:t>
            </w:r>
          </w:p>
        </w:tc>
        <w:tc>
          <w:tcPr>
            <w:tcW w:w="1080" w:type="dxa"/>
            <w:shd w:val="clear" w:color="auto" w:fill="DBE5F1" w:themeFill="accent1" w:themeFillTint="33"/>
            <w:vAlign w:val="center"/>
          </w:tcPr>
          <w:p w:rsidR="00BE7D81" w:rsidRPr="00BE7D81" w:rsidRDefault="001B572A" w:rsidP="001B572A">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3.4</w:t>
            </w:r>
            <w:r w:rsidR="00081645">
              <w:rPr>
                <w:rFonts w:eastAsia="Times New Roman" w:cs="Calibri"/>
                <w:color w:val="000000"/>
                <w:kern w:val="28"/>
                <w:sz w:val="22"/>
                <w:szCs w:val="22"/>
              </w:rPr>
              <w:t xml:space="preserve"> (A)</w:t>
            </w:r>
          </w:p>
        </w:tc>
        <w:tc>
          <w:tcPr>
            <w:tcW w:w="1051" w:type="dxa"/>
            <w:gridSpan w:val="2"/>
            <w:shd w:val="clear" w:color="auto" w:fill="DBE5F1" w:themeFill="accent1" w:themeFillTint="33"/>
            <w:vAlign w:val="center"/>
          </w:tcPr>
          <w:p w:rsidR="00BE7D81" w:rsidRPr="00BE7D81" w:rsidRDefault="001B572A" w:rsidP="001B572A">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3.2</w:t>
            </w:r>
            <w:r w:rsidR="00081645">
              <w:rPr>
                <w:rFonts w:eastAsia="Times New Roman" w:cs="Calibri"/>
                <w:color w:val="000000"/>
                <w:kern w:val="28"/>
                <w:sz w:val="22"/>
                <w:szCs w:val="22"/>
              </w:rPr>
              <w:t xml:space="preserve"> (A)</w:t>
            </w:r>
          </w:p>
        </w:tc>
        <w:tc>
          <w:tcPr>
            <w:tcW w:w="1109" w:type="dxa"/>
            <w:shd w:val="clear" w:color="auto" w:fill="FFFFFF" w:themeFill="background1"/>
            <w:hideMark/>
          </w:tcPr>
          <w:p w:rsidR="00BE7D81" w:rsidRPr="00BE7D81" w:rsidRDefault="00316D31"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8.0</w:t>
            </w:r>
            <w:r w:rsidR="00081645">
              <w:rPr>
                <w:rFonts w:eastAsia="Times New Roman" w:cs="Calibri"/>
                <w:color w:val="000000"/>
                <w:kern w:val="28"/>
                <w:sz w:val="22"/>
                <w:szCs w:val="22"/>
              </w:rPr>
              <w:t xml:space="preserve"> (A)</w:t>
            </w:r>
          </w:p>
        </w:tc>
        <w:tc>
          <w:tcPr>
            <w:tcW w:w="1080" w:type="dxa"/>
            <w:shd w:val="clear" w:color="auto" w:fill="FFFFFF" w:themeFill="background1"/>
          </w:tcPr>
          <w:p w:rsidR="00BE7D81" w:rsidRPr="00BE7D81" w:rsidRDefault="00316D31"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9.4</w:t>
            </w:r>
            <w:r w:rsidR="00081645">
              <w:rPr>
                <w:rFonts w:eastAsia="Times New Roman" w:cs="Calibri"/>
                <w:color w:val="000000"/>
                <w:kern w:val="28"/>
                <w:sz w:val="22"/>
                <w:szCs w:val="22"/>
              </w:rPr>
              <w:t xml:space="preserve"> (A)</w:t>
            </w:r>
          </w:p>
        </w:tc>
        <w:tc>
          <w:tcPr>
            <w:tcW w:w="1080" w:type="dxa"/>
            <w:shd w:val="clear" w:color="auto" w:fill="FFFFFF" w:themeFill="background1"/>
          </w:tcPr>
          <w:p w:rsidR="00BE7D81" w:rsidRPr="00BE7D81" w:rsidRDefault="00316D31"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8.4</w:t>
            </w:r>
            <w:r w:rsidR="00081645">
              <w:rPr>
                <w:rFonts w:eastAsia="Times New Roman" w:cs="Calibri"/>
                <w:color w:val="000000"/>
                <w:kern w:val="28"/>
                <w:sz w:val="22"/>
                <w:szCs w:val="22"/>
              </w:rPr>
              <w:t xml:space="preserve"> (A)</w:t>
            </w:r>
          </w:p>
        </w:tc>
      </w:tr>
      <w:tr w:rsidR="008148C4" w:rsidRPr="003C5252" w:rsidTr="001B572A">
        <w:trPr>
          <w:gridAfter w:val="1"/>
          <w:cnfStyle w:val="000000100000" w:firstRow="0" w:lastRow="0" w:firstColumn="0" w:lastColumn="0" w:oddVBand="0" w:evenVBand="0" w:oddHBand="1" w:evenHBand="0" w:firstRowFirstColumn="0" w:firstRowLastColumn="0" w:lastRowFirstColumn="0" w:lastRowLastColumn="0"/>
          <w:wAfter w:w="27" w:type="dxa"/>
          <w:trHeight w:val="302"/>
        </w:trPr>
        <w:tc>
          <w:tcPr>
            <w:cnfStyle w:val="001000000000" w:firstRow="0" w:lastRow="0" w:firstColumn="1" w:lastColumn="0" w:oddVBand="0" w:evenVBand="0" w:oddHBand="0" w:evenHBand="0" w:firstRowFirstColumn="0" w:firstRowLastColumn="0" w:lastRowFirstColumn="0" w:lastRowLastColumn="0"/>
            <w:tcW w:w="1127"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hideMark/>
          </w:tcPr>
          <w:p w:rsidR="00BE7D81" w:rsidRPr="003C5252" w:rsidRDefault="00BE7D81" w:rsidP="001237B1">
            <w:pPr>
              <w:widowControl w:val="0"/>
              <w:rPr>
                <w:rFonts w:eastAsia="Times New Roman" w:cs="Calibri"/>
                <w:kern w:val="28"/>
                <w:sz w:val="24"/>
                <w:szCs w:val="24"/>
              </w:rPr>
            </w:pPr>
            <w:r w:rsidRPr="003C5252">
              <w:rPr>
                <w:rFonts w:eastAsia="Times New Roman" w:cs="Calibri"/>
                <w:kern w:val="28"/>
                <w:sz w:val="24"/>
                <w:szCs w:val="24"/>
              </w:rPr>
              <w:t>Murray</w:t>
            </w:r>
          </w:p>
        </w:tc>
        <w:tc>
          <w:tcPr>
            <w:tcW w:w="1080" w:type="dxa"/>
            <w:shd w:val="clear" w:color="auto" w:fill="DBE5F1" w:themeFill="accent1" w:themeFillTint="33"/>
            <w:vAlign w:val="center"/>
            <w:hideMark/>
          </w:tcPr>
          <w:p w:rsidR="00BE7D81" w:rsidRPr="00BE7D81" w:rsidRDefault="001B572A" w:rsidP="001B572A">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3.4</w:t>
            </w:r>
            <w:r w:rsidR="00081645">
              <w:rPr>
                <w:rFonts w:eastAsia="Times New Roman" w:cs="Calibri"/>
                <w:color w:val="000000"/>
                <w:kern w:val="28"/>
                <w:sz w:val="22"/>
                <w:szCs w:val="22"/>
              </w:rPr>
              <w:t xml:space="preserve"> (A)</w:t>
            </w:r>
          </w:p>
        </w:tc>
        <w:tc>
          <w:tcPr>
            <w:tcW w:w="1080" w:type="dxa"/>
            <w:shd w:val="clear" w:color="auto" w:fill="DBE5F1" w:themeFill="accent1" w:themeFillTint="33"/>
            <w:vAlign w:val="center"/>
          </w:tcPr>
          <w:p w:rsidR="00BE7D81" w:rsidRPr="00BE7D81" w:rsidRDefault="001B572A" w:rsidP="001B572A">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3.6</w:t>
            </w:r>
            <w:r w:rsidR="00081645">
              <w:rPr>
                <w:rFonts w:eastAsia="Times New Roman" w:cs="Calibri"/>
                <w:color w:val="000000"/>
                <w:kern w:val="28"/>
                <w:sz w:val="22"/>
                <w:szCs w:val="22"/>
              </w:rPr>
              <w:t xml:space="preserve"> (A)</w:t>
            </w:r>
          </w:p>
        </w:tc>
        <w:tc>
          <w:tcPr>
            <w:tcW w:w="1051" w:type="dxa"/>
            <w:gridSpan w:val="2"/>
            <w:shd w:val="clear" w:color="auto" w:fill="DBE5F1" w:themeFill="accent1" w:themeFillTint="33"/>
            <w:vAlign w:val="center"/>
          </w:tcPr>
          <w:p w:rsidR="00BE7D81" w:rsidRPr="00BE7D81" w:rsidRDefault="001B572A" w:rsidP="001B572A">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3.3</w:t>
            </w:r>
            <w:r w:rsidR="00081645">
              <w:rPr>
                <w:rFonts w:eastAsia="Times New Roman" w:cs="Calibri"/>
                <w:color w:val="000000"/>
                <w:kern w:val="28"/>
                <w:sz w:val="22"/>
                <w:szCs w:val="22"/>
              </w:rPr>
              <w:t xml:space="preserve"> (A)</w:t>
            </w:r>
          </w:p>
        </w:tc>
        <w:tc>
          <w:tcPr>
            <w:tcW w:w="1109" w:type="dxa"/>
            <w:shd w:val="clear" w:color="auto" w:fill="FFFFFF" w:themeFill="background1"/>
            <w:hideMark/>
          </w:tcPr>
          <w:p w:rsidR="00BE7D81" w:rsidRPr="00BE7D81" w:rsidRDefault="00316D31"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11.6</w:t>
            </w:r>
            <w:r w:rsidR="00081645">
              <w:rPr>
                <w:rFonts w:eastAsia="Times New Roman" w:cs="Calibri"/>
                <w:color w:val="000000"/>
                <w:kern w:val="28"/>
                <w:sz w:val="22"/>
                <w:szCs w:val="22"/>
              </w:rPr>
              <w:t xml:space="preserve"> (A)</w:t>
            </w:r>
          </w:p>
        </w:tc>
        <w:tc>
          <w:tcPr>
            <w:tcW w:w="1080" w:type="dxa"/>
            <w:shd w:val="clear" w:color="auto" w:fill="FFFFFF" w:themeFill="background1"/>
          </w:tcPr>
          <w:p w:rsidR="00BE7D81" w:rsidRPr="00BE7D81" w:rsidRDefault="00316D31"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10.1</w:t>
            </w:r>
            <w:r w:rsidR="00081645">
              <w:rPr>
                <w:rFonts w:eastAsia="Times New Roman" w:cs="Calibri"/>
                <w:color w:val="000000"/>
                <w:kern w:val="28"/>
                <w:sz w:val="22"/>
                <w:szCs w:val="22"/>
              </w:rPr>
              <w:t xml:space="preserve"> (A)</w:t>
            </w:r>
          </w:p>
        </w:tc>
        <w:tc>
          <w:tcPr>
            <w:tcW w:w="1080" w:type="dxa"/>
            <w:shd w:val="clear" w:color="auto" w:fill="FFFFFF" w:themeFill="background1"/>
          </w:tcPr>
          <w:p w:rsidR="00BE7D81" w:rsidRPr="00BE7D81" w:rsidRDefault="00316D31"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8.8</w:t>
            </w:r>
            <w:r w:rsidR="00081645">
              <w:rPr>
                <w:rFonts w:eastAsia="Times New Roman" w:cs="Calibri"/>
                <w:color w:val="000000"/>
                <w:kern w:val="28"/>
                <w:sz w:val="22"/>
                <w:szCs w:val="22"/>
              </w:rPr>
              <w:t xml:space="preserve"> (A)</w:t>
            </w:r>
          </w:p>
        </w:tc>
      </w:tr>
      <w:tr w:rsidR="008148C4" w:rsidRPr="003C5252" w:rsidTr="00543AF1">
        <w:trPr>
          <w:gridAfter w:val="1"/>
          <w:cnfStyle w:val="000000010000" w:firstRow="0" w:lastRow="0" w:firstColumn="0" w:lastColumn="0" w:oddVBand="0" w:evenVBand="0" w:oddHBand="0" w:evenHBand="1" w:firstRowFirstColumn="0" w:firstRowLastColumn="0" w:lastRowFirstColumn="0" w:lastRowLastColumn="0"/>
          <w:wAfter w:w="27" w:type="dxa"/>
          <w:trHeight w:val="302"/>
        </w:trPr>
        <w:tc>
          <w:tcPr>
            <w:cnfStyle w:val="001000000000" w:firstRow="0" w:lastRow="0" w:firstColumn="1" w:lastColumn="0" w:oddVBand="0" w:evenVBand="0" w:oddHBand="0" w:evenHBand="0" w:firstRowFirstColumn="0" w:firstRowLastColumn="0" w:lastRowFirstColumn="0" w:lastRowLastColumn="0"/>
            <w:tcW w:w="1127"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hideMark/>
          </w:tcPr>
          <w:p w:rsidR="00BE7D81" w:rsidRPr="003C5252" w:rsidRDefault="00BE7D81" w:rsidP="001237B1">
            <w:pPr>
              <w:widowControl w:val="0"/>
              <w:rPr>
                <w:rFonts w:eastAsia="Times New Roman" w:cs="Calibri"/>
                <w:kern w:val="28"/>
                <w:sz w:val="24"/>
                <w:szCs w:val="24"/>
              </w:rPr>
            </w:pPr>
            <w:r w:rsidRPr="003C5252">
              <w:rPr>
                <w:rFonts w:eastAsia="Times New Roman" w:cs="Calibri"/>
                <w:kern w:val="28"/>
                <w:sz w:val="24"/>
                <w:szCs w:val="24"/>
              </w:rPr>
              <w:t>Pontotoc</w:t>
            </w:r>
          </w:p>
        </w:tc>
        <w:tc>
          <w:tcPr>
            <w:tcW w:w="1080" w:type="dxa"/>
            <w:shd w:val="clear" w:color="auto" w:fill="DBE5F1" w:themeFill="accent1" w:themeFillTint="33"/>
            <w:vAlign w:val="center"/>
            <w:hideMark/>
          </w:tcPr>
          <w:p w:rsidR="00BE7D81" w:rsidRPr="00BE7D81" w:rsidRDefault="001B572A" w:rsidP="001B572A">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4.2</w:t>
            </w:r>
            <w:r w:rsidR="00081645">
              <w:rPr>
                <w:rFonts w:eastAsia="Times New Roman" w:cs="Calibri"/>
                <w:color w:val="000000"/>
                <w:kern w:val="28"/>
                <w:sz w:val="22"/>
                <w:szCs w:val="22"/>
              </w:rPr>
              <w:t xml:space="preserve"> (A)</w:t>
            </w:r>
          </w:p>
        </w:tc>
        <w:tc>
          <w:tcPr>
            <w:tcW w:w="1080" w:type="dxa"/>
            <w:shd w:val="clear" w:color="auto" w:fill="DBE5F1" w:themeFill="accent1" w:themeFillTint="33"/>
            <w:vAlign w:val="center"/>
          </w:tcPr>
          <w:p w:rsidR="00BE7D81" w:rsidRPr="00BE7D81" w:rsidRDefault="001B572A" w:rsidP="001B572A">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4.2</w:t>
            </w:r>
            <w:r w:rsidR="00081645">
              <w:rPr>
                <w:rFonts w:eastAsia="Times New Roman" w:cs="Calibri"/>
                <w:color w:val="000000"/>
                <w:kern w:val="28"/>
                <w:sz w:val="22"/>
                <w:szCs w:val="22"/>
              </w:rPr>
              <w:t xml:space="preserve"> (B)</w:t>
            </w:r>
          </w:p>
        </w:tc>
        <w:tc>
          <w:tcPr>
            <w:tcW w:w="1051" w:type="dxa"/>
            <w:gridSpan w:val="2"/>
            <w:shd w:val="clear" w:color="auto" w:fill="DBE5F1" w:themeFill="accent1" w:themeFillTint="33"/>
            <w:vAlign w:val="center"/>
          </w:tcPr>
          <w:p w:rsidR="00BE7D81" w:rsidRPr="00BE7D81" w:rsidRDefault="001B572A" w:rsidP="001B572A">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2.2</w:t>
            </w:r>
            <w:r w:rsidR="00081645">
              <w:rPr>
                <w:rFonts w:eastAsia="Times New Roman" w:cs="Calibri"/>
                <w:color w:val="000000"/>
                <w:kern w:val="28"/>
                <w:sz w:val="22"/>
                <w:szCs w:val="22"/>
              </w:rPr>
              <w:t xml:space="preserve"> (A)</w:t>
            </w:r>
          </w:p>
        </w:tc>
        <w:tc>
          <w:tcPr>
            <w:tcW w:w="1109" w:type="dxa"/>
            <w:shd w:val="clear" w:color="auto" w:fill="FFFFFF" w:themeFill="background1"/>
            <w:hideMark/>
          </w:tcPr>
          <w:p w:rsidR="00BE7D81" w:rsidRPr="00BE7D81" w:rsidRDefault="00316D31"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8.6</w:t>
            </w:r>
            <w:r w:rsidR="00081645">
              <w:rPr>
                <w:rFonts w:eastAsia="Times New Roman" w:cs="Calibri"/>
                <w:color w:val="000000"/>
                <w:kern w:val="28"/>
                <w:sz w:val="22"/>
                <w:szCs w:val="22"/>
              </w:rPr>
              <w:t xml:space="preserve"> (A)</w:t>
            </w:r>
          </w:p>
        </w:tc>
        <w:tc>
          <w:tcPr>
            <w:tcW w:w="1080" w:type="dxa"/>
            <w:shd w:val="clear" w:color="auto" w:fill="FFFFFF" w:themeFill="background1"/>
          </w:tcPr>
          <w:p w:rsidR="00BE7D81" w:rsidRPr="00BE7D81" w:rsidRDefault="00316D31"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8.4</w:t>
            </w:r>
            <w:r w:rsidR="00081645">
              <w:rPr>
                <w:rFonts w:eastAsia="Times New Roman" w:cs="Calibri"/>
                <w:color w:val="000000"/>
                <w:kern w:val="28"/>
                <w:sz w:val="22"/>
                <w:szCs w:val="22"/>
              </w:rPr>
              <w:t xml:space="preserve"> (A)</w:t>
            </w:r>
          </w:p>
        </w:tc>
        <w:tc>
          <w:tcPr>
            <w:tcW w:w="1080" w:type="dxa"/>
            <w:shd w:val="clear" w:color="auto" w:fill="FFFFFF" w:themeFill="background1"/>
          </w:tcPr>
          <w:p w:rsidR="00BE7D81" w:rsidRPr="00BE7D81" w:rsidRDefault="00316D31"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2"/>
                <w:szCs w:val="22"/>
              </w:rPr>
            </w:pPr>
            <w:r>
              <w:rPr>
                <w:rFonts w:eastAsia="Times New Roman" w:cs="Calibri"/>
                <w:color w:val="000000"/>
                <w:kern w:val="28"/>
                <w:sz w:val="22"/>
                <w:szCs w:val="22"/>
              </w:rPr>
              <w:t>7.1</w:t>
            </w:r>
            <w:r w:rsidR="00081645">
              <w:rPr>
                <w:rFonts w:eastAsia="Times New Roman" w:cs="Calibri"/>
                <w:color w:val="000000"/>
                <w:kern w:val="28"/>
                <w:sz w:val="22"/>
                <w:szCs w:val="22"/>
              </w:rPr>
              <w:t xml:space="preserve"> (A)</w:t>
            </w:r>
          </w:p>
        </w:tc>
      </w:tr>
      <w:tr w:rsidR="00543AF1" w:rsidRPr="003C5252" w:rsidTr="0010510C">
        <w:trPr>
          <w:gridAfter w:val="1"/>
          <w:cnfStyle w:val="000000100000" w:firstRow="0" w:lastRow="0" w:firstColumn="0" w:lastColumn="0" w:oddVBand="0" w:evenVBand="0" w:oddHBand="1" w:evenHBand="0" w:firstRowFirstColumn="0" w:firstRowLastColumn="0" w:lastRowFirstColumn="0" w:lastRowLastColumn="0"/>
          <w:wAfter w:w="27" w:type="dxa"/>
          <w:trHeight w:val="302"/>
        </w:trPr>
        <w:tc>
          <w:tcPr>
            <w:cnfStyle w:val="001000000000" w:firstRow="0" w:lastRow="0" w:firstColumn="1" w:lastColumn="0" w:oddVBand="0" w:evenVBand="0" w:oddHBand="0" w:evenHBand="0" w:firstRowFirstColumn="0" w:firstRowLastColumn="0" w:lastRowFirstColumn="0" w:lastRowLastColumn="0"/>
            <w:tcW w:w="7607" w:type="dxa"/>
            <w:gridSpan w:val="8"/>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tcPr>
          <w:p w:rsidR="00543AF1" w:rsidRDefault="0083187B" w:rsidP="009D0D45">
            <w:pPr>
              <w:widowControl w:val="0"/>
              <w:jc w:val="center"/>
              <w:rPr>
                <w:rFonts w:eastAsia="Times New Roman" w:cs="Calibri"/>
                <w:color w:val="000000"/>
                <w:kern w:val="28"/>
              </w:rPr>
            </w:pPr>
            <w:r>
              <w:rPr>
                <w:rFonts w:eastAsia="Times New Roman" w:cs="Calibri"/>
                <w:color w:val="000000"/>
                <w:kern w:val="28"/>
              </w:rPr>
              <w:t xml:space="preserve">Source: </w:t>
            </w:r>
            <w:r w:rsidR="009D0D45">
              <w:rPr>
                <w:rFonts w:eastAsia="Times New Roman" w:cs="Calibri"/>
                <w:color w:val="000000"/>
                <w:kern w:val="28"/>
              </w:rPr>
              <w:t>Oklahoma State Department of Health</w:t>
            </w:r>
          </w:p>
        </w:tc>
      </w:tr>
      <w:tr w:rsidR="002A0F99" w:rsidRPr="003C5252" w:rsidTr="002A0F99">
        <w:trPr>
          <w:gridAfter w:val="1"/>
          <w:cnfStyle w:val="000000010000" w:firstRow="0" w:lastRow="0" w:firstColumn="0" w:lastColumn="0" w:oddVBand="0" w:evenVBand="0" w:oddHBand="0" w:evenHBand="1" w:firstRowFirstColumn="0" w:firstRowLastColumn="0" w:lastRowFirstColumn="0" w:lastRowLastColumn="0"/>
          <w:wAfter w:w="27" w:type="dxa"/>
          <w:trHeight w:val="302"/>
        </w:trPr>
        <w:tc>
          <w:tcPr>
            <w:cnfStyle w:val="001000000000" w:firstRow="0" w:lastRow="0" w:firstColumn="1" w:lastColumn="0" w:oddVBand="0" w:evenVBand="0" w:oddHBand="0" w:evenHBand="0" w:firstRowFirstColumn="0" w:firstRowLastColumn="0" w:lastRowFirstColumn="0" w:lastRowLastColumn="0"/>
            <w:tcW w:w="3803" w:type="dxa"/>
            <w:gridSpan w:val="4"/>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tcPr>
          <w:p w:rsidR="002A0F99" w:rsidRDefault="002A0F99" w:rsidP="001237B1">
            <w:pPr>
              <w:widowControl w:val="0"/>
              <w:jc w:val="center"/>
              <w:rPr>
                <w:rFonts w:eastAsia="Times New Roman" w:cs="Calibri"/>
                <w:b w:val="0"/>
                <w:bCs w:val="0"/>
                <w:color w:val="000000"/>
                <w:kern w:val="28"/>
              </w:rPr>
            </w:pPr>
          </w:p>
        </w:tc>
        <w:tc>
          <w:tcPr>
            <w:tcW w:w="3804" w:type="dxa"/>
            <w:gridSpan w:val="4"/>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tcPr>
          <w:p w:rsidR="002A0F99" w:rsidRDefault="002A0F99" w:rsidP="002A0F99">
            <w:pPr>
              <w:widowControl w:val="0"/>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rPr>
            </w:pPr>
            <w:r>
              <w:rPr>
                <w:rFonts w:eastAsia="Times New Roman" w:cs="Calibri"/>
                <w:color w:val="000000"/>
                <w:kern w:val="28"/>
              </w:rPr>
              <w:t>A and B: Better C: National Average</w:t>
            </w:r>
          </w:p>
          <w:p w:rsidR="002A0F99" w:rsidRDefault="002A0F99" w:rsidP="002A0F99">
            <w:pPr>
              <w:widowControl w:val="0"/>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rPr>
            </w:pPr>
            <w:r>
              <w:rPr>
                <w:rFonts w:eastAsia="Times New Roman" w:cs="Calibri"/>
                <w:color w:val="000000"/>
                <w:kern w:val="28"/>
              </w:rPr>
              <w:t>D and F: Worse</w:t>
            </w:r>
          </w:p>
        </w:tc>
      </w:tr>
    </w:tbl>
    <w:p w:rsidR="001B70B4" w:rsidRDefault="001B70B4" w:rsidP="001B70B4">
      <w:pPr>
        <w:widowControl w:val="0"/>
        <w:rPr>
          <w:rFonts w:cstheme="minorHAnsi"/>
          <w:color w:val="FF0000"/>
          <w:sz w:val="24"/>
          <w:szCs w:val="24"/>
        </w:rPr>
      </w:pPr>
    </w:p>
    <w:p w:rsidR="00BE7D81" w:rsidRDefault="00BE7D81" w:rsidP="001B70B4">
      <w:pPr>
        <w:widowControl w:val="0"/>
        <w:rPr>
          <w:rFonts w:cstheme="minorHAnsi"/>
          <w:color w:val="FF0000"/>
          <w:sz w:val="24"/>
          <w:szCs w:val="24"/>
        </w:rPr>
      </w:pPr>
    </w:p>
    <w:p w:rsidR="00BE7D81" w:rsidRDefault="00BE7D81" w:rsidP="001B70B4">
      <w:pPr>
        <w:widowControl w:val="0"/>
        <w:rPr>
          <w:rFonts w:cstheme="minorHAnsi"/>
          <w:color w:val="FF0000"/>
          <w:sz w:val="24"/>
          <w:szCs w:val="24"/>
        </w:rPr>
      </w:pPr>
    </w:p>
    <w:p w:rsidR="00BE7D81" w:rsidRDefault="00BE7D81" w:rsidP="001B70B4">
      <w:pPr>
        <w:widowControl w:val="0"/>
        <w:rPr>
          <w:rFonts w:cstheme="minorHAnsi"/>
          <w:color w:val="FF0000"/>
          <w:sz w:val="24"/>
          <w:szCs w:val="24"/>
        </w:rPr>
      </w:pPr>
    </w:p>
    <w:p w:rsidR="00BE7D81" w:rsidRDefault="00BE7D81" w:rsidP="001B70B4">
      <w:pPr>
        <w:widowControl w:val="0"/>
        <w:rPr>
          <w:rFonts w:cstheme="minorHAnsi"/>
          <w:color w:val="FF0000"/>
          <w:sz w:val="24"/>
          <w:szCs w:val="24"/>
        </w:rPr>
      </w:pPr>
    </w:p>
    <w:p w:rsidR="00BE7D81" w:rsidRDefault="00BE7D81" w:rsidP="001B70B4">
      <w:pPr>
        <w:widowControl w:val="0"/>
        <w:rPr>
          <w:rFonts w:cstheme="minorHAnsi"/>
          <w:color w:val="FF0000"/>
          <w:sz w:val="24"/>
          <w:szCs w:val="24"/>
        </w:rPr>
      </w:pPr>
    </w:p>
    <w:p w:rsidR="00BE7D81" w:rsidRDefault="00BE7D81" w:rsidP="001B70B4">
      <w:pPr>
        <w:widowControl w:val="0"/>
        <w:rPr>
          <w:rFonts w:cstheme="minorHAnsi"/>
          <w:color w:val="FF0000"/>
          <w:sz w:val="24"/>
          <w:szCs w:val="24"/>
        </w:rPr>
      </w:pPr>
    </w:p>
    <w:p w:rsidR="00BE7D81" w:rsidRDefault="00BE7D81" w:rsidP="001B70B4">
      <w:pPr>
        <w:widowControl w:val="0"/>
        <w:rPr>
          <w:rFonts w:cstheme="minorHAnsi"/>
          <w:color w:val="FF0000"/>
          <w:sz w:val="24"/>
          <w:szCs w:val="24"/>
        </w:rPr>
      </w:pPr>
    </w:p>
    <w:p w:rsidR="00BE7D81" w:rsidRDefault="00BE7D81" w:rsidP="001B70B4">
      <w:pPr>
        <w:widowControl w:val="0"/>
        <w:rPr>
          <w:rFonts w:cstheme="minorHAnsi"/>
          <w:color w:val="FF0000"/>
          <w:sz w:val="24"/>
          <w:szCs w:val="24"/>
        </w:rPr>
      </w:pPr>
    </w:p>
    <w:p w:rsidR="00543AF1" w:rsidRDefault="00543AF1" w:rsidP="001B70B4">
      <w:pPr>
        <w:widowControl w:val="0"/>
        <w:rPr>
          <w:rFonts w:cstheme="minorHAnsi"/>
          <w:color w:val="FF0000"/>
          <w:sz w:val="24"/>
          <w:szCs w:val="24"/>
        </w:rPr>
      </w:pPr>
    </w:p>
    <w:p w:rsidR="009D0D45" w:rsidRDefault="009D0D45" w:rsidP="001B70B4">
      <w:pPr>
        <w:widowControl w:val="0"/>
        <w:rPr>
          <w:rFonts w:cstheme="minorHAnsi"/>
          <w:color w:val="FF0000"/>
          <w:sz w:val="24"/>
          <w:szCs w:val="24"/>
        </w:rPr>
      </w:pPr>
    </w:p>
    <w:p w:rsidR="001B70B4" w:rsidRPr="00BE7D81" w:rsidRDefault="00F814DB" w:rsidP="00F455A6">
      <w:pPr>
        <w:widowControl w:val="0"/>
        <w:jc w:val="both"/>
        <w:rPr>
          <w:rFonts w:cstheme="minorHAnsi"/>
          <w:color w:val="FF0000"/>
          <w:sz w:val="24"/>
          <w:szCs w:val="24"/>
        </w:rPr>
      </w:pPr>
      <w:r w:rsidRPr="00F455A6">
        <w:rPr>
          <w:rFonts w:cstheme="minorHAnsi"/>
          <w:sz w:val="24"/>
          <w:szCs w:val="24"/>
        </w:rPr>
        <w:t xml:space="preserve">Grades were created by comparing each indicator to the national average. </w:t>
      </w:r>
      <w:r w:rsidR="0083664E" w:rsidRPr="00F455A6">
        <w:rPr>
          <w:rFonts w:cstheme="minorHAnsi"/>
          <w:sz w:val="24"/>
          <w:szCs w:val="24"/>
        </w:rPr>
        <w:t xml:space="preserve">Throughout 2013-2016, </w:t>
      </w:r>
      <w:r w:rsidR="006731AC">
        <w:rPr>
          <w:rFonts w:cstheme="minorHAnsi"/>
          <w:sz w:val="24"/>
          <w:szCs w:val="24"/>
        </w:rPr>
        <w:t>the state and Region 10 were</w:t>
      </w:r>
      <w:r w:rsidR="0083664E" w:rsidRPr="00F455A6">
        <w:rPr>
          <w:rFonts w:cstheme="minorHAnsi"/>
          <w:sz w:val="24"/>
          <w:szCs w:val="24"/>
        </w:rPr>
        <w:t xml:space="preserve"> better than the national average as regards to </w:t>
      </w:r>
      <w:r w:rsidR="00670908">
        <w:rPr>
          <w:rFonts w:cstheme="minorHAnsi"/>
          <w:sz w:val="24"/>
          <w:szCs w:val="24"/>
        </w:rPr>
        <w:t xml:space="preserve">binge drinking and </w:t>
      </w:r>
      <w:r w:rsidR="0083664E" w:rsidRPr="00F455A6">
        <w:rPr>
          <w:rFonts w:cstheme="minorHAnsi"/>
          <w:sz w:val="24"/>
          <w:szCs w:val="24"/>
        </w:rPr>
        <w:t xml:space="preserve">heavy and </w:t>
      </w:r>
      <w:r w:rsidR="00F455A6" w:rsidRPr="00F455A6">
        <w:rPr>
          <w:rFonts w:cstheme="minorHAnsi"/>
          <w:sz w:val="24"/>
          <w:szCs w:val="24"/>
        </w:rPr>
        <w:t xml:space="preserve">chronic drinking among adults. </w:t>
      </w:r>
      <w:r w:rsidR="00C66F7A" w:rsidRPr="00F455A6">
        <w:rPr>
          <w:rFonts w:cstheme="minorHAnsi"/>
          <w:sz w:val="24"/>
          <w:szCs w:val="24"/>
        </w:rPr>
        <w:t xml:space="preserve">In </w:t>
      </w:r>
      <w:r w:rsidR="00670908">
        <w:rPr>
          <w:rFonts w:cstheme="minorHAnsi"/>
          <w:sz w:val="24"/>
          <w:szCs w:val="24"/>
        </w:rPr>
        <w:t xml:space="preserve">2015 and </w:t>
      </w:r>
      <w:r w:rsidR="00C66F7A" w:rsidRPr="00F455A6">
        <w:rPr>
          <w:rFonts w:cstheme="minorHAnsi"/>
          <w:sz w:val="24"/>
          <w:szCs w:val="24"/>
        </w:rPr>
        <w:t>2016, Region 10 reported improvement in all counties as it was better than the national average of adult binge drinkers.</w:t>
      </w:r>
      <w:r w:rsidR="008F70E5" w:rsidRPr="00F455A6">
        <w:rPr>
          <w:rFonts w:cstheme="minorHAnsi"/>
          <w:sz w:val="24"/>
          <w:szCs w:val="24"/>
        </w:rPr>
        <w:t xml:space="preserve"> </w:t>
      </w:r>
    </w:p>
    <w:p w:rsidR="004A1E54" w:rsidRDefault="004A1E54">
      <w:pPr>
        <w:rPr>
          <w:rFonts w:cstheme="minorHAnsi"/>
          <w:b/>
          <w:sz w:val="24"/>
          <w:szCs w:val="24"/>
        </w:rPr>
      </w:pPr>
      <w:r>
        <w:rPr>
          <w:rFonts w:cstheme="minorHAnsi"/>
          <w:b/>
          <w:sz w:val="24"/>
          <w:szCs w:val="24"/>
        </w:rPr>
        <w:br w:type="page"/>
      </w:r>
    </w:p>
    <w:p w:rsidR="001B70B4" w:rsidRPr="003C5252" w:rsidRDefault="001B70B4" w:rsidP="001B70B4">
      <w:pPr>
        <w:widowControl w:val="0"/>
        <w:spacing w:line="240" w:lineRule="auto"/>
        <w:contextualSpacing/>
        <w:rPr>
          <w:rFonts w:cstheme="minorHAnsi"/>
          <w:b/>
          <w:sz w:val="24"/>
          <w:szCs w:val="24"/>
        </w:rPr>
      </w:pPr>
      <w:r w:rsidRPr="003C5252">
        <w:rPr>
          <w:rFonts w:cstheme="minorHAnsi"/>
          <w:b/>
          <w:sz w:val="24"/>
          <w:szCs w:val="24"/>
        </w:rPr>
        <w:lastRenderedPageBreak/>
        <w:t>Alcohol Consequences Data</w:t>
      </w:r>
    </w:p>
    <w:p w:rsidR="001B70B4" w:rsidRPr="003C5252" w:rsidRDefault="001B70B4" w:rsidP="001B70B4">
      <w:pPr>
        <w:spacing w:line="240" w:lineRule="auto"/>
        <w:contextualSpacing/>
        <w:rPr>
          <w:rFonts w:cstheme="minorHAnsi"/>
          <w:b/>
          <w:sz w:val="24"/>
          <w:szCs w:val="24"/>
        </w:rPr>
      </w:pPr>
      <w:r w:rsidRPr="003C5252">
        <w:rPr>
          <w:rFonts w:cstheme="minorHAnsi"/>
          <w:b/>
          <w:sz w:val="24"/>
          <w:szCs w:val="24"/>
        </w:rPr>
        <w:t xml:space="preserve">Table 6:  Alcohol Consequences </w:t>
      </w:r>
    </w:p>
    <w:tbl>
      <w:tblPr>
        <w:tblStyle w:val="MediumShading11"/>
        <w:tblpPr w:leftFromText="180" w:rightFromText="180" w:vertAnchor="text" w:horzAnchor="margin" w:tblpXSpec="center" w:tblpY="2"/>
        <w:tblW w:w="11520" w:type="dxa"/>
        <w:tblLayout w:type="fixed"/>
        <w:tblLook w:val="04A0" w:firstRow="1" w:lastRow="0" w:firstColumn="1" w:lastColumn="0" w:noHBand="0" w:noVBand="1"/>
      </w:tblPr>
      <w:tblGrid>
        <w:gridCol w:w="995"/>
        <w:gridCol w:w="733"/>
        <w:gridCol w:w="630"/>
        <w:gridCol w:w="630"/>
        <w:gridCol w:w="540"/>
        <w:gridCol w:w="757"/>
        <w:gridCol w:w="632"/>
        <w:gridCol w:w="623"/>
        <w:gridCol w:w="889"/>
        <w:gridCol w:w="623"/>
        <w:gridCol w:w="623"/>
        <w:gridCol w:w="623"/>
        <w:gridCol w:w="623"/>
        <w:gridCol w:w="729"/>
        <w:gridCol w:w="623"/>
        <w:gridCol w:w="623"/>
        <w:gridCol w:w="624"/>
      </w:tblGrid>
      <w:tr w:rsidR="001B70B4" w:rsidRPr="003C5252" w:rsidTr="002E10A3">
        <w:trPr>
          <w:cnfStyle w:val="100000000000" w:firstRow="1" w:lastRow="0" w:firstColumn="0" w:lastColumn="0" w:oddVBand="0" w:evenVBand="0" w:oddHBand="0" w:evenHBand="0" w:firstRowFirstColumn="0" w:firstRowLastColumn="0" w:lastRowFirstColumn="0" w:lastRowLastColumn="0"/>
          <w:trHeight w:val="1330"/>
        </w:trPr>
        <w:tc>
          <w:tcPr>
            <w:cnfStyle w:val="001000000000" w:firstRow="0" w:lastRow="0" w:firstColumn="1" w:lastColumn="0" w:oddVBand="0" w:evenVBand="0" w:oddHBand="0" w:evenHBand="0" w:firstRowFirstColumn="0" w:firstRowLastColumn="0" w:lastRowFirstColumn="0" w:lastRowLastColumn="0"/>
            <w:tcW w:w="995" w:type="dxa"/>
            <w:vMerge w:val="restart"/>
            <w:shd w:val="clear" w:color="auto" w:fill="BFBFBF" w:themeFill="background1" w:themeFillShade="BF"/>
            <w:hideMark/>
          </w:tcPr>
          <w:p w:rsidR="001B70B4" w:rsidRPr="003C5252" w:rsidRDefault="001B70B4" w:rsidP="001237B1">
            <w:pPr>
              <w:jc w:val="center"/>
              <w:rPr>
                <w:rFonts w:eastAsia="Times New Roman" w:cs="Calibri"/>
                <w:color w:val="FFFFFF"/>
              </w:rPr>
            </w:pPr>
            <w:r w:rsidRPr="003C5252">
              <w:rPr>
                <w:rFonts w:cs="Calibri"/>
                <w:color w:val="FFFFFF"/>
              </w:rPr>
              <w:t> </w:t>
            </w:r>
          </w:p>
          <w:p w:rsidR="001B70B4" w:rsidRPr="003C5252" w:rsidRDefault="001B70B4" w:rsidP="001237B1">
            <w:pPr>
              <w:jc w:val="center"/>
              <w:rPr>
                <w:rFonts w:eastAsia="Times New Roman" w:cs="Calibri"/>
                <w:color w:val="FFFFFF"/>
              </w:rPr>
            </w:pPr>
            <w:r w:rsidRPr="003C5252">
              <w:rPr>
                <w:rFonts w:cs="Calibri"/>
                <w:color w:val="FFFFFF"/>
              </w:rPr>
              <w:t> </w:t>
            </w:r>
          </w:p>
        </w:tc>
        <w:tc>
          <w:tcPr>
            <w:tcW w:w="1363" w:type="dxa"/>
            <w:gridSpan w:val="2"/>
            <w:vAlign w:val="center"/>
            <w:hideMark/>
          </w:tcPr>
          <w:p w:rsidR="001B70B4" w:rsidRPr="003C5252" w:rsidRDefault="001B70B4"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rPr>
            </w:pPr>
            <w:r w:rsidRPr="003C5252">
              <w:rPr>
                <w:rFonts w:cs="Calibri"/>
                <w:color w:val="FFFFFF"/>
              </w:rPr>
              <w:t>Violent Crime</w:t>
            </w:r>
          </w:p>
          <w:p w:rsidR="001B70B4" w:rsidRPr="003C5252" w:rsidRDefault="002E73EF"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rPr>
            </w:pPr>
            <w:r>
              <w:rPr>
                <w:rFonts w:cs="Calibri"/>
                <w:color w:val="FFFFFF"/>
              </w:rPr>
              <w:t>2015-2016</w:t>
            </w:r>
          </w:p>
        </w:tc>
        <w:tc>
          <w:tcPr>
            <w:tcW w:w="1170" w:type="dxa"/>
            <w:gridSpan w:val="2"/>
            <w:vAlign w:val="center"/>
            <w:hideMark/>
          </w:tcPr>
          <w:p w:rsidR="001B70B4" w:rsidRPr="003C5252" w:rsidRDefault="001B70B4"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rPr>
            </w:pPr>
            <w:r>
              <w:rPr>
                <w:rFonts w:cs="Calibri"/>
                <w:color w:val="FFFFFF"/>
              </w:rPr>
              <w:t xml:space="preserve">Alcohol Related </w:t>
            </w:r>
            <w:r w:rsidRPr="003C5252">
              <w:rPr>
                <w:rFonts w:cs="Calibri"/>
                <w:color w:val="FFFFFF"/>
              </w:rPr>
              <w:t>Juvenile Arrests</w:t>
            </w:r>
          </w:p>
          <w:p w:rsidR="001B70B4" w:rsidRPr="003C5252" w:rsidRDefault="00384ACB"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rPr>
            </w:pPr>
            <w:r>
              <w:rPr>
                <w:rFonts w:cs="Calibri"/>
                <w:color w:val="FFFFFF"/>
              </w:rPr>
              <w:t xml:space="preserve">2015 or </w:t>
            </w:r>
            <w:r w:rsidR="000F08D3">
              <w:rPr>
                <w:rFonts w:cs="Calibri"/>
                <w:color w:val="FFFFFF"/>
              </w:rPr>
              <w:t>2016</w:t>
            </w:r>
          </w:p>
        </w:tc>
        <w:tc>
          <w:tcPr>
            <w:tcW w:w="1389" w:type="dxa"/>
            <w:gridSpan w:val="2"/>
            <w:vAlign w:val="center"/>
            <w:hideMark/>
          </w:tcPr>
          <w:p w:rsidR="001B70B4" w:rsidRPr="003C5252" w:rsidRDefault="001B70B4"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rPr>
            </w:pPr>
            <w:r>
              <w:rPr>
                <w:rFonts w:cs="Calibri"/>
                <w:color w:val="FFFFFF"/>
              </w:rPr>
              <w:t xml:space="preserve">Alcohol Related </w:t>
            </w:r>
            <w:r w:rsidRPr="003C5252">
              <w:rPr>
                <w:rFonts w:cs="Calibri"/>
                <w:color w:val="FFFFFF"/>
              </w:rPr>
              <w:t>Adult Arrests</w:t>
            </w:r>
          </w:p>
          <w:p w:rsidR="001B70B4" w:rsidRPr="003C5252" w:rsidRDefault="00384ACB"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rPr>
            </w:pPr>
            <w:r>
              <w:rPr>
                <w:rFonts w:cs="Calibri"/>
                <w:color w:val="FFFFFF"/>
              </w:rPr>
              <w:t xml:space="preserve">2015 or </w:t>
            </w:r>
            <w:r w:rsidR="000F08D3">
              <w:rPr>
                <w:rFonts w:cs="Calibri"/>
                <w:color w:val="FFFFFF"/>
              </w:rPr>
              <w:t>2016</w:t>
            </w:r>
          </w:p>
        </w:tc>
        <w:tc>
          <w:tcPr>
            <w:tcW w:w="1512" w:type="dxa"/>
            <w:gridSpan w:val="2"/>
            <w:vAlign w:val="center"/>
            <w:hideMark/>
          </w:tcPr>
          <w:p w:rsidR="001B70B4" w:rsidRPr="003C5252" w:rsidRDefault="001B70B4"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rPr>
            </w:pPr>
            <w:r w:rsidRPr="003C5252">
              <w:rPr>
                <w:rFonts w:cs="Calibri"/>
                <w:color w:val="FFFFFF"/>
              </w:rPr>
              <w:t>Alcohol Crash Mortality BAC=</w:t>
            </w:r>
            <w:r w:rsidR="00547ED6">
              <w:rPr>
                <w:rFonts w:cs="Calibri"/>
                <w:color w:val="FFFFFF"/>
              </w:rPr>
              <w:t>.08</w:t>
            </w:r>
            <w:r w:rsidRPr="003C5252">
              <w:rPr>
                <w:rFonts w:cs="Calibri"/>
                <w:color w:val="FFFFFF"/>
              </w:rPr>
              <w:t>+</w:t>
            </w:r>
          </w:p>
          <w:p w:rsidR="001B70B4" w:rsidRPr="003C5252" w:rsidRDefault="00547ED6"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rPr>
            </w:pPr>
            <w:r>
              <w:rPr>
                <w:rFonts w:cs="Calibri"/>
                <w:color w:val="FFFFFF"/>
              </w:rPr>
              <w:t>2015-2016</w:t>
            </w:r>
          </w:p>
        </w:tc>
        <w:tc>
          <w:tcPr>
            <w:tcW w:w="1246" w:type="dxa"/>
            <w:gridSpan w:val="2"/>
            <w:vAlign w:val="center"/>
            <w:hideMark/>
          </w:tcPr>
          <w:p w:rsidR="001B70B4" w:rsidRPr="003C5252" w:rsidRDefault="001B70B4"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rPr>
            </w:pPr>
            <w:r w:rsidRPr="003C5252">
              <w:rPr>
                <w:rFonts w:cs="Calibri"/>
                <w:color w:val="FFFFFF"/>
              </w:rPr>
              <w:t>Chronic Liver Disease Deaths</w:t>
            </w:r>
          </w:p>
          <w:p w:rsidR="001B70B4" w:rsidRPr="003C5252" w:rsidRDefault="003C0BDF"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rPr>
            </w:pPr>
            <w:r>
              <w:rPr>
                <w:rFonts w:cs="Calibri"/>
                <w:color w:val="FFFFFF"/>
              </w:rPr>
              <w:t>2014-2016</w:t>
            </w:r>
          </w:p>
        </w:tc>
        <w:tc>
          <w:tcPr>
            <w:tcW w:w="1246" w:type="dxa"/>
            <w:gridSpan w:val="2"/>
            <w:vAlign w:val="center"/>
            <w:hideMark/>
          </w:tcPr>
          <w:p w:rsidR="001B70B4" w:rsidRPr="003C5252" w:rsidRDefault="001B70B4"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rPr>
            </w:pPr>
            <w:r w:rsidRPr="003C5252">
              <w:rPr>
                <w:rFonts w:cs="Calibri"/>
                <w:color w:val="FFFFFF"/>
              </w:rPr>
              <w:t>Suicide</w:t>
            </w:r>
          </w:p>
          <w:p w:rsidR="001B70B4" w:rsidRPr="003C5252" w:rsidRDefault="009D0D45"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rPr>
            </w:pPr>
            <w:r>
              <w:rPr>
                <w:rFonts w:eastAsia="Times New Roman" w:cs="Calibri"/>
                <w:color w:val="FFFFFF"/>
              </w:rPr>
              <w:t>2015-2016</w:t>
            </w:r>
          </w:p>
        </w:tc>
        <w:tc>
          <w:tcPr>
            <w:tcW w:w="1352" w:type="dxa"/>
            <w:gridSpan w:val="2"/>
            <w:vAlign w:val="center"/>
            <w:hideMark/>
          </w:tcPr>
          <w:p w:rsidR="00820083" w:rsidRDefault="001B70B4" w:rsidP="001237B1">
            <w:pPr>
              <w:jc w:val="center"/>
              <w:cnfStyle w:val="100000000000" w:firstRow="1" w:lastRow="0" w:firstColumn="0" w:lastColumn="0" w:oddVBand="0" w:evenVBand="0" w:oddHBand="0" w:evenHBand="0" w:firstRowFirstColumn="0" w:firstRowLastColumn="0" w:lastRowFirstColumn="0" w:lastRowLastColumn="0"/>
              <w:rPr>
                <w:rFonts w:cs="Calibri"/>
                <w:color w:val="FFFFFF"/>
              </w:rPr>
            </w:pPr>
            <w:r>
              <w:rPr>
                <w:rFonts w:cs="Calibri"/>
                <w:color w:val="FFFFFF"/>
              </w:rPr>
              <w:t xml:space="preserve">ODMHSAS </w:t>
            </w:r>
            <w:r w:rsidRPr="003C5252">
              <w:rPr>
                <w:rFonts w:cs="Calibri"/>
                <w:color w:val="FFFFFF"/>
              </w:rPr>
              <w:t>A</w:t>
            </w:r>
            <w:r>
              <w:rPr>
                <w:rFonts w:cs="Calibri"/>
                <w:color w:val="FFFFFF"/>
              </w:rPr>
              <w:t>l</w:t>
            </w:r>
            <w:r w:rsidR="00820083">
              <w:rPr>
                <w:rFonts w:cs="Calibri"/>
                <w:color w:val="FFFFFF"/>
              </w:rPr>
              <w:t>cohol Treatment Admissions</w:t>
            </w:r>
          </w:p>
          <w:p w:rsidR="001B70B4" w:rsidRPr="003C5252" w:rsidRDefault="009A673E"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rPr>
            </w:pPr>
            <w:r>
              <w:rPr>
                <w:rFonts w:cs="Calibri"/>
                <w:color w:val="FFFFFF"/>
              </w:rPr>
              <w:t>2015-</w:t>
            </w:r>
            <w:r w:rsidR="001B70B4">
              <w:rPr>
                <w:rFonts w:cs="Calibri"/>
                <w:color w:val="FFFFFF"/>
              </w:rPr>
              <w:t>2016</w:t>
            </w:r>
          </w:p>
        </w:tc>
        <w:tc>
          <w:tcPr>
            <w:tcW w:w="1247" w:type="dxa"/>
            <w:gridSpan w:val="2"/>
            <w:vAlign w:val="center"/>
            <w:hideMark/>
          </w:tcPr>
          <w:p w:rsidR="001B70B4" w:rsidRPr="003C5252" w:rsidRDefault="001B70B4"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rPr>
            </w:pPr>
            <w:r w:rsidRPr="003C5252">
              <w:rPr>
                <w:rFonts w:cs="Calibri"/>
                <w:color w:val="FFFFFF"/>
              </w:rPr>
              <w:t>Alcohol-related Birth Rate</w:t>
            </w:r>
          </w:p>
          <w:p w:rsidR="001B70B4" w:rsidRPr="003C5252" w:rsidRDefault="001B70B4"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rPr>
            </w:pPr>
            <w:r w:rsidRPr="003C5252">
              <w:rPr>
                <w:rFonts w:cs="Calibri"/>
                <w:color w:val="FFFFFF"/>
              </w:rPr>
              <w:t>2003-2008</w:t>
            </w:r>
          </w:p>
        </w:tc>
      </w:tr>
      <w:tr w:rsidR="001B70B4" w:rsidRPr="003C5252" w:rsidTr="002E10A3">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995" w:type="dxa"/>
            <w:vMerge/>
            <w:tcBorders>
              <w:top w:val="single" w:sz="8" w:space="0" w:color="404040" w:themeColor="text1" w:themeTint="BF"/>
              <w:left w:val="single" w:sz="8" w:space="0" w:color="404040" w:themeColor="text1" w:themeTint="BF"/>
              <w:bottom w:val="single" w:sz="8" w:space="0" w:color="404040" w:themeColor="text1" w:themeTint="BF"/>
            </w:tcBorders>
            <w:vAlign w:val="center"/>
            <w:hideMark/>
          </w:tcPr>
          <w:p w:rsidR="001B70B4" w:rsidRPr="003C5252" w:rsidRDefault="001B70B4" w:rsidP="001237B1">
            <w:pPr>
              <w:rPr>
                <w:rFonts w:eastAsia="Times New Roman" w:cs="Calibri"/>
                <w:color w:val="FFFFFF"/>
              </w:rPr>
            </w:pPr>
          </w:p>
        </w:tc>
        <w:tc>
          <w:tcPr>
            <w:tcW w:w="733"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cs="Calibri"/>
                <w:b/>
              </w:rPr>
              <w:t xml:space="preserve"># </w:t>
            </w:r>
          </w:p>
        </w:tc>
        <w:tc>
          <w:tcPr>
            <w:tcW w:w="6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cs="Calibri"/>
                <w:b/>
              </w:rPr>
              <w:t>Rate*</w:t>
            </w:r>
          </w:p>
        </w:tc>
        <w:tc>
          <w:tcPr>
            <w:tcW w:w="63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cs="Calibri"/>
                <w:b/>
              </w:rPr>
              <w:t>#</w:t>
            </w:r>
          </w:p>
        </w:tc>
        <w:tc>
          <w:tcPr>
            <w:tcW w:w="54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cs="Calibri"/>
                <w:b/>
              </w:rPr>
              <w:t>Rate*</w:t>
            </w:r>
          </w:p>
        </w:tc>
        <w:tc>
          <w:tcPr>
            <w:tcW w:w="757"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cs="Calibri"/>
                <w:b/>
              </w:rPr>
              <w:t>#</w:t>
            </w:r>
          </w:p>
        </w:tc>
        <w:tc>
          <w:tcPr>
            <w:tcW w:w="632"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cs="Calibri"/>
                <w:b/>
              </w:rPr>
              <w:t>Rate*</w:t>
            </w:r>
          </w:p>
        </w:tc>
        <w:tc>
          <w:tcPr>
            <w:tcW w:w="623"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cs="Calibri"/>
                <w:b/>
              </w:rPr>
              <w:t>#</w:t>
            </w:r>
          </w:p>
        </w:tc>
        <w:tc>
          <w:tcPr>
            <w:tcW w:w="889"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cs="Calibri"/>
                <w:b/>
              </w:rPr>
              <w:t>Percent  of total crashes</w:t>
            </w:r>
            <w:r w:rsidR="00607315" w:rsidRPr="003C5252">
              <w:rPr>
                <w:rFonts w:cs="Calibri"/>
                <w:b/>
              </w:rPr>
              <w:t>^</w:t>
            </w:r>
          </w:p>
        </w:tc>
        <w:tc>
          <w:tcPr>
            <w:tcW w:w="623"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cs="Calibri"/>
                <w:b/>
              </w:rPr>
              <w:t>#</w:t>
            </w:r>
          </w:p>
        </w:tc>
        <w:tc>
          <w:tcPr>
            <w:tcW w:w="623"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cs="Calibri"/>
                <w:b/>
              </w:rPr>
              <w:t>Rate^</w:t>
            </w:r>
          </w:p>
        </w:tc>
        <w:tc>
          <w:tcPr>
            <w:tcW w:w="623"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Default="009D0D45" w:rsidP="001237B1">
            <w:pPr>
              <w:jc w:val="center"/>
              <w:cnfStyle w:val="000000100000" w:firstRow="0" w:lastRow="0" w:firstColumn="0" w:lastColumn="0" w:oddVBand="0" w:evenVBand="0" w:oddHBand="1" w:evenHBand="0" w:firstRowFirstColumn="0" w:firstRowLastColumn="0" w:lastRowFirstColumn="0" w:lastRowLastColumn="0"/>
              <w:rPr>
                <w:rFonts w:cs="Calibri"/>
                <w:b/>
              </w:rPr>
            </w:pPr>
            <w:r>
              <w:rPr>
                <w:rFonts w:cs="Calibri"/>
                <w:b/>
              </w:rPr>
              <w:t>2015</w:t>
            </w:r>
          </w:p>
          <w:p w:rsidR="009D0D45" w:rsidRPr="003C5252" w:rsidRDefault="009D0D45"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cs="Calibri"/>
                <w:b/>
              </w:rPr>
              <w:t>Rate^</w:t>
            </w:r>
          </w:p>
        </w:tc>
        <w:tc>
          <w:tcPr>
            <w:tcW w:w="623"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9D0D45" w:rsidRDefault="009D0D45" w:rsidP="001237B1">
            <w:pPr>
              <w:jc w:val="center"/>
              <w:cnfStyle w:val="000000100000" w:firstRow="0" w:lastRow="0" w:firstColumn="0" w:lastColumn="0" w:oddVBand="0" w:evenVBand="0" w:oddHBand="1" w:evenHBand="0" w:firstRowFirstColumn="0" w:firstRowLastColumn="0" w:lastRowFirstColumn="0" w:lastRowLastColumn="0"/>
              <w:rPr>
                <w:rFonts w:cs="Calibri"/>
                <w:b/>
              </w:rPr>
            </w:pPr>
            <w:r>
              <w:rPr>
                <w:rFonts w:cs="Calibri"/>
                <w:b/>
              </w:rPr>
              <w:t>2016</w:t>
            </w:r>
          </w:p>
          <w:p w:rsidR="001B70B4" w:rsidRDefault="001B70B4" w:rsidP="001237B1">
            <w:pPr>
              <w:jc w:val="center"/>
              <w:cnfStyle w:val="000000100000" w:firstRow="0" w:lastRow="0" w:firstColumn="0" w:lastColumn="0" w:oddVBand="0" w:evenVBand="0" w:oddHBand="1" w:evenHBand="0" w:firstRowFirstColumn="0" w:firstRowLastColumn="0" w:lastRowFirstColumn="0" w:lastRowLastColumn="0"/>
              <w:rPr>
                <w:rFonts w:cs="Calibri"/>
                <w:b/>
              </w:rPr>
            </w:pPr>
            <w:r w:rsidRPr="003C5252">
              <w:rPr>
                <w:rFonts w:cs="Calibri"/>
                <w:b/>
              </w:rPr>
              <w:t>Rate^</w:t>
            </w:r>
          </w:p>
          <w:p w:rsidR="009D0D45" w:rsidRPr="003C5252" w:rsidRDefault="009D0D45" w:rsidP="009D0D45">
            <w:pPr>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p>
        </w:tc>
        <w:tc>
          <w:tcPr>
            <w:tcW w:w="729"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cs="Calibri"/>
                <w:b/>
              </w:rPr>
              <w:t>#</w:t>
            </w:r>
          </w:p>
        </w:tc>
        <w:tc>
          <w:tcPr>
            <w:tcW w:w="623"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cs="Calibri"/>
                <w:b/>
              </w:rPr>
              <w:t>Rate*</w:t>
            </w:r>
          </w:p>
        </w:tc>
        <w:tc>
          <w:tcPr>
            <w:tcW w:w="623"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cs="Calibri"/>
                <w:b/>
              </w:rPr>
              <w:t>#</w:t>
            </w:r>
          </w:p>
        </w:tc>
        <w:tc>
          <w:tcPr>
            <w:tcW w:w="624"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textDirection w:val="btLr"/>
            <w:hideMark/>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vertAlign w:val="superscript"/>
              </w:rPr>
            </w:pPr>
            <w:r w:rsidRPr="003C5252">
              <w:rPr>
                <w:rFonts w:cs="Calibri"/>
                <w:b/>
              </w:rPr>
              <w:t>Rate</w:t>
            </w:r>
            <w:r w:rsidRPr="003C5252">
              <w:rPr>
                <w:rFonts w:cs="Calibri"/>
                <w:b/>
                <w:vertAlign w:val="superscript"/>
              </w:rPr>
              <w:t>@</w:t>
            </w:r>
          </w:p>
        </w:tc>
      </w:tr>
      <w:tr w:rsidR="00A7488F" w:rsidRPr="003C5252" w:rsidTr="002E10A3">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95"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vAlign w:val="center"/>
            <w:hideMark/>
          </w:tcPr>
          <w:p w:rsidR="004A1E54" w:rsidRPr="003C5252" w:rsidRDefault="004A1E54" w:rsidP="004A1E54">
            <w:pPr>
              <w:rPr>
                <w:rFonts w:eastAsia="Times New Roman" w:cs="Calibri"/>
              </w:rPr>
            </w:pPr>
            <w:r w:rsidRPr="003C5252">
              <w:rPr>
                <w:rFonts w:cs="Calibri"/>
              </w:rPr>
              <w:t>OK</w:t>
            </w:r>
          </w:p>
        </w:tc>
        <w:tc>
          <w:tcPr>
            <w:tcW w:w="73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E43070"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34154</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E43070"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4.6</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E43070" w:rsidRDefault="004A1E54" w:rsidP="004A1E54">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597</w:t>
            </w:r>
            <w:r w:rsidRPr="003C5252">
              <w:rPr>
                <w:rFonts w:eastAsia="Times New Roman" w:cs="Calibri"/>
                <w:color w:val="000000"/>
                <w:kern w:val="28"/>
                <w:sz w:val="18"/>
                <w:szCs w:val="18"/>
                <w:vertAlign w:val="superscript"/>
              </w:rPr>
              <w:t>#</w:t>
            </w:r>
          </w:p>
        </w:tc>
        <w:tc>
          <w:tcPr>
            <w:tcW w:w="54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E43070"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0.2</w:t>
            </w:r>
          </w:p>
        </w:tc>
        <w:tc>
          <w:tcPr>
            <w:tcW w:w="757"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E43070"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27671</w:t>
            </w:r>
            <w:r w:rsidRPr="003C5252">
              <w:rPr>
                <w:rFonts w:eastAsia="Times New Roman" w:cs="Calibri"/>
                <w:color w:val="000000"/>
                <w:kern w:val="28"/>
                <w:sz w:val="18"/>
                <w:szCs w:val="18"/>
                <w:vertAlign w:val="superscript"/>
              </w:rPr>
              <w:t>#</w:t>
            </w:r>
          </w:p>
        </w:tc>
        <w:tc>
          <w:tcPr>
            <w:tcW w:w="632"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E43070"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sidRPr="002842F6">
              <w:rPr>
                <w:rFonts w:eastAsia="Times New Roman" w:cs="Calibri"/>
                <w:color w:val="000000"/>
                <w:sz w:val="18"/>
                <w:szCs w:val="18"/>
              </w:rPr>
              <w:t xml:space="preserve"> 7.4</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E43070"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348</w:t>
            </w:r>
          </w:p>
        </w:tc>
        <w:tc>
          <w:tcPr>
            <w:tcW w:w="889"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E43070"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4.6</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E43070"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1826</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E43070"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16.2</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E43070" w:rsidRDefault="004A1E54" w:rsidP="004A1E54">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20.3</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E43070" w:rsidRDefault="004A1E54" w:rsidP="004A1E54">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20.5</w:t>
            </w:r>
          </w:p>
        </w:tc>
        <w:tc>
          <w:tcPr>
            <w:tcW w:w="729"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0067D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Pr>
                <w:rFonts w:eastAsia="Times New Roman" w:cs="Calibri"/>
                <w:sz w:val="18"/>
                <w:szCs w:val="18"/>
              </w:rPr>
              <w:t>9366</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0067D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Pr>
                <w:rFonts w:eastAsia="Times New Roman" w:cs="Calibri"/>
                <w:sz w:val="18"/>
                <w:szCs w:val="18"/>
              </w:rPr>
              <w:t>1.2</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AA2498" w:rsidRPr="00AA2498" w:rsidRDefault="004A1E54" w:rsidP="00AA2498">
            <w:pPr>
              <w:jc w:val="center"/>
              <w:cnfStyle w:val="000000010000" w:firstRow="0" w:lastRow="0" w:firstColumn="0" w:lastColumn="0" w:oddVBand="0" w:evenVBand="0" w:oddHBand="0" w:evenHBand="1" w:firstRowFirstColumn="0" w:firstRowLastColumn="0" w:lastRowFirstColumn="0" w:lastRowLastColumn="0"/>
              <w:rPr>
                <w:rFonts w:cs="Calibri"/>
                <w:sz w:val="18"/>
                <w:szCs w:val="18"/>
              </w:rPr>
            </w:pPr>
            <w:r>
              <w:rPr>
                <w:rFonts w:cs="Calibri"/>
                <w:sz w:val="18"/>
                <w:szCs w:val="18"/>
              </w:rPr>
              <w:t>1663</w:t>
            </w:r>
          </w:p>
        </w:tc>
        <w:tc>
          <w:tcPr>
            <w:tcW w:w="624" w:type="dxa"/>
            <w:tcBorders>
              <w:top w:val="single" w:sz="8" w:space="0" w:color="404040" w:themeColor="text1" w:themeTint="BF"/>
              <w:bottom w:val="single" w:sz="8" w:space="0" w:color="404040" w:themeColor="text1" w:themeTint="BF"/>
              <w:right w:val="single" w:sz="8" w:space="0" w:color="404040" w:themeColor="text1" w:themeTint="BF"/>
            </w:tcBorders>
            <w:shd w:val="clear" w:color="auto" w:fill="FFFFFF" w:themeFill="background1"/>
            <w:vAlign w:val="center"/>
            <w:hideMark/>
          </w:tcPr>
          <w:p w:rsidR="004A1E54"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cs="Calibri"/>
                <w:sz w:val="18"/>
                <w:szCs w:val="18"/>
              </w:rPr>
              <w:t>5.3</w:t>
            </w:r>
          </w:p>
        </w:tc>
      </w:tr>
      <w:tr w:rsidR="00A7488F" w:rsidRPr="003C5252" w:rsidTr="002E10A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95"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vAlign w:val="center"/>
            <w:hideMark/>
          </w:tcPr>
          <w:p w:rsidR="004A1E54" w:rsidRPr="003C5252" w:rsidRDefault="004A1E54" w:rsidP="004A1E54">
            <w:pPr>
              <w:rPr>
                <w:rFonts w:eastAsia="Times New Roman" w:cs="Calibri"/>
              </w:rPr>
            </w:pPr>
            <w:r w:rsidRPr="003C5252">
              <w:rPr>
                <w:rFonts w:cs="Calibri"/>
              </w:rPr>
              <w:t>Bryan</w:t>
            </w:r>
          </w:p>
        </w:tc>
        <w:tc>
          <w:tcPr>
            <w:tcW w:w="73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cs="Calibri"/>
                <w:sz w:val="18"/>
                <w:szCs w:val="18"/>
              </w:rPr>
              <w:t>89</w:t>
            </w:r>
            <w:r w:rsidRPr="003C5252">
              <w:rPr>
                <w:rFonts w:eastAsia="Times New Roman" w:cs="Calibri"/>
                <w:color w:val="000000"/>
                <w:kern w:val="28"/>
                <w:sz w:val="18"/>
                <w:szCs w:val="18"/>
                <w:vertAlign w:val="superscript"/>
              </w:rPr>
              <w:t>#</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5C1D0D"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5C1D0D">
              <w:rPr>
                <w:rFonts w:eastAsia="Times New Roman" w:cs="Calibri"/>
                <w:color w:val="000000"/>
                <w:sz w:val="18"/>
                <w:szCs w:val="18"/>
              </w:rPr>
              <w:t>2.1</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cs="Calibri"/>
                <w:sz w:val="18"/>
                <w:szCs w:val="18"/>
              </w:rPr>
              <w:t>10</w:t>
            </w:r>
            <w:r w:rsidRPr="003C5252">
              <w:rPr>
                <w:rFonts w:eastAsia="Times New Roman" w:cs="Calibri"/>
                <w:color w:val="000000"/>
                <w:kern w:val="28"/>
                <w:sz w:val="18"/>
                <w:szCs w:val="18"/>
                <w:vertAlign w:val="superscript"/>
              </w:rPr>
              <w:t>#</w:t>
            </w:r>
          </w:p>
        </w:tc>
        <w:tc>
          <w:tcPr>
            <w:tcW w:w="54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0.2</w:t>
            </w:r>
          </w:p>
        </w:tc>
        <w:tc>
          <w:tcPr>
            <w:tcW w:w="757"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417</w:t>
            </w:r>
            <w:r w:rsidRPr="003C5252">
              <w:rPr>
                <w:rFonts w:eastAsia="Times New Roman" w:cs="Calibri"/>
                <w:color w:val="000000"/>
                <w:kern w:val="28"/>
                <w:sz w:val="18"/>
                <w:szCs w:val="18"/>
                <w:vertAlign w:val="superscript"/>
              </w:rPr>
              <w:t>#</w:t>
            </w:r>
          </w:p>
        </w:tc>
        <w:tc>
          <w:tcPr>
            <w:tcW w:w="632"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2842F6"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2F6">
              <w:rPr>
                <w:rFonts w:eastAsia="Times New Roman" w:cs="Calibri"/>
                <w:color w:val="000000"/>
                <w:sz w:val="18"/>
                <w:szCs w:val="18"/>
              </w:rPr>
              <w:t>9.8</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2F6">
              <w:rPr>
                <w:rFonts w:eastAsia="Times New Roman" w:cs="Calibri"/>
                <w:color w:val="000000"/>
                <w:sz w:val="18"/>
                <w:szCs w:val="18"/>
              </w:rPr>
              <w:t>10</w:t>
            </w:r>
          </w:p>
        </w:tc>
        <w:tc>
          <w:tcPr>
            <w:tcW w:w="889"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2842F6">
              <w:rPr>
                <w:rFonts w:eastAsia="Times New Roman" w:cs="Calibri"/>
                <w:color w:val="000000"/>
                <w:sz w:val="18"/>
                <w:szCs w:val="18"/>
              </w:rPr>
              <w:t>11.8</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17</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13.4</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18.8</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E43070" w:rsidRDefault="004A1E54" w:rsidP="004A1E54">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19.4</w:t>
            </w:r>
          </w:p>
        </w:tc>
        <w:tc>
          <w:tcPr>
            <w:tcW w:w="729"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820083"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109</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820083"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1.3</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0B07FD"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0B07FD">
              <w:rPr>
                <w:rFonts w:cs="Calibri"/>
                <w:sz w:val="18"/>
                <w:szCs w:val="18"/>
              </w:rPr>
              <w:t>7</w:t>
            </w:r>
          </w:p>
        </w:tc>
        <w:tc>
          <w:tcPr>
            <w:tcW w:w="624" w:type="dxa"/>
            <w:tcBorders>
              <w:top w:val="single" w:sz="8" w:space="0" w:color="404040" w:themeColor="text1" w:themeTint="BF"/>
              <w:bottom w:val="single" w:sz="8" w:space="0" w:color="404040" w:themeColor="text1" w:themeTint="BF"/>
              <w:right w:val="single" w:sz="8" w:space="0" w:color="404040" w:themeColor="text1" w:themeTint="BF"/>
            </w:tcBorders>
            <w:shd w:val="clear" w:color="auto" w:fill="FFFFFF" w:themeFill="background1"/>
            <w:vAlign w:val="center"/>
            <w:hideMark/>
          </w:tcPr>
          <w:p w:rsidR="004A1E54" w:rsidRPr="000B07FD"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0B07FD">
              <w:rPr>
                <w:rFonts w:cs="Calibri"/>
                <w:sz w:val="18"/>
                <w:szCs w:val="18"/>
              </w:rPr>
              <w:t>2.3</w:t>
            </w:r>
          </w:p>
        </w:tc>
      </w:tr>
      <w:tr w:rsidR="00A7488F" w:rsidRPr="003C5252" w:rsidTr="002E10A3">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95"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vAlign w:val="center"/>
            <w:hideMark/>
          </w:tcPr>
          <w:p w:rsidR="004A1E54" w:rsidRPr="003C5252" w:rsidRDefault="004A1E54" w:rsidP="004A1E54">
            <w:pPr>
              <w:rPr>
                <w:rFonts w:eastAsia="Times New Roman" w:cs="Calibri"/>
              </w:rPr>
            </w:pPr>
            <w:r w:rsidRPr="003C5252">
              <w:rPr>
                <w:rFonts w:cs="Calibri"/>
              </w:rPr>
              <w:t>Carter</w:t>
            </w:r>
          </w:p>
        </w:tc>
        <w:tc>
          <w:tcPr>
            <w:tcW w:w="73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cs="Calibri"/>
                <w:sz w:val="18"/>
                <w:szCs w:val="18"/>
              </w:rPr>
              <w:t>39</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5C1D0D"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sidRPr="005C1D0D">
              <w:rPr>
                <w:rFonts w:eastAsia="Times New Roman" w:cs="Calibri"/>
                <w:color w:val="000000"/>
                <w:sz w:val="18"/>
                <w:szCs w:val="18"/>
              </w:rPr>
              <w:t>0.4</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cs="Calibri"/>
                <w:sz w:val="18"/>
                <w:szCs w:val="18"/>
              </w:rPr>
              <w:t>3</w:t>
            </w:r>
            <w:r w:rsidRPr="003C5252">
              <w:rPr>
                <w:rFonts w:eastAsia="Times New Roman" w:cs="Calibri"/>
                <w:color w:val="000000"/>
                <w:kern w:val="28"/>
                <w:sz w:val="18"/>
                <w:szCs w:val="18"/>
                <w:vertAlign w:val="superscript"/>
              </w:rPr>
              <w:t>#</w:t>
            </w:r>
          </w:p>
        </w:tc>
        <w:tc>
          <w:tcPr>
            <w:tcW w:w="54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0.1</w:t>
            </w:r>
          </w:p>
        </w:tc>
        <w:tc>
          <w:tcPr>
            <w:tcW w:w="757"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706</w:t>
            </w:r>
            <w:r w:rsidRPr="003C5252">
              <w:rPr>
                <w:rFonts w:eastAsia="Times New Roman" w:cs="Calibri"/>
                <w:color w:val="000000"/>
                <w:kern w:val="28"/>
                <w:sz w:val="18"/>
                <w:szCs w:val="18"/>
                <w:vertAlign w:val="superscript"/>
              </w:rPr>
              <w:t>#</w:t>
            </w:r>
          </w:p>
        </w:tc>
        <w:tc>
          <w:tcPr>
            <w:tcW w:w="632"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2842F6"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sidRPr="002842F6">
              <w:rPr>
                <w:rFonts w:eastAsia="Times New Roman" w:cs="Calibri"/>
                <w:color w:val="000000"/>
                <w:sz w:val="18"/>
                <w:szCs w:val="18"/>
              </w:rPr>
              <w:t>14.8</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5</w:t>
            </w:r>
          </w:p>
        </w:tc>
        <w:tc>
          <w:tcPr>
            <w:tcW w:w="889"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5.3</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36</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25.2</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24.3</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3C5252" w:rsidRDefault="004A1E54" w:rsidP="004A1E54">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25.5</w:t>
            </w:r>
          </w:p>
        </w:tc>
        <w:tc>
          <w:tcPr>
            <w:tcW w:w="729"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820083"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112</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820083"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Pr>
                <w:rFonts w:eastAsia="Times New Roman" w:cs="Calibri"/>
                <w:sz w:val="18"/>
                <w:szCs w:val="18"/>
              </w:rPr>
              <w:t>1.2</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0B07FD"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sidRPr="000B07FD">
              <w:rPr>
                <w:rFonts w:cs="Calibri"/>
                <w:sz w:val="18"/>
                <w:szCs w:val="18"/>
              </w:rPr>
              <w:t>16</w:t>
            </w:r>
          </w:p>
        </w:tc>
        <w:tc>
          <w:tcPr>
            <w:tcW w:w="624" w:type="dxa"/>
            <w:tcBorders>
              <w:top w:val="single" w:sz="8" w:space="0" w:color="404040" w:themeColor="text1" w:themeTint="BF"/>
              <w:bottom w:val="single" w:sz="8" w:space="0" w:color="404040" w:themeColor="text1" w:themeTint="BF"/>
              <w:right w:val="single" w:sz="8" w:space="0" w:color="404040" w:themeColor="text1" w:themeTint="BF"/>
            </w:tcBorders>
            <w:shd w:val="clear" w:color="auto" w:fill="FFFFFF" w:themeFill="background1"/>
            <w:vAlign w:val="center"/>
            <w:hideMark/>
          </w:tcPr>
          <w:p w:rsidR="004A1E54" w:rsidRPr="000B07FD"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sidRPr="000B07FD">
              <w:rPr>
                <w:rFonts w:cs="Calibri"/>
                <w:sz w:val="18"/>
                <w:szCs w:val="18"/>
              </w:rPr>
              <w:t>3.9</w:t>
            </w:r>
          </w:p>
        </w:tc>
      </w:tr>
      <w:tr w:rsidR="00A7488F" w:rsidRPr="003C5252" w:rsidTr="002E10A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95"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vAlign w:val="center"/>
            <w:hideMark/>
          </w:tcPr>
          <w:p w:rsidR="004A1E54" w:rsidRPr="003C5252" w:rsidRDefault="004A1E54" w:rsidP="004A1E54">
            <w:pPr>
              <w:rPr>
                <w:rFonts w:eastAsia="Times New Roman" w:cs="Calibri"/>
              </w:rPr>
            </w:pPr>
            <w:r w:rsidRPr="003C5252">
              <w:rPr>
                <w:rFonts w:cs="Calibri"/>
              </w:rPr>
              <w:t>Garvin</w:t>
            </w:r>
          </w:p>
        </w:tc>
        <w:tc>
          <w:tcPr>
            <w:tcW w:w="73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69</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6555A1"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1.3</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cs="Calibri"/>
                <w:sz w:val="18"/>
                <w:szCs w:val="18"/>
              </w:rPr>
              <w:t>4</w:t>
            </w:r>
            <w:r w:rsidRPr="003C5252">
              <w:rPr>
                <w:rFonts w:eastAsia="Times New Roman" w:cs="Calibri"/>
                <w:color w:val="000000"/>
                <w:kern w:val="28"/>
                <w:sz w:val="18"/>
                <w:szCs w:val="18"/>
                <w:vertAlign w:val="superscript"/>
              </w:rPr>
              <w:t>#</w:t>
            </w:r>
          </w:p>
        </w:tc>
        <w:tc>
          <w:tcPr>
            <w:tcW w:w="54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0.1</w:t>
            </w:r>
          </w:p>
        </w:tc>
        <w:tc>
          <w:tcPr>
            <w:tcW w:w="757"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155</w:t>
            </w:r>
            <w:r w:rsidRPr="003C5252">
              <w:rPr>
                <w:rFonts w:eastAsia="Times New Roman" w:cs="Calibri"/>
                <w:color w:val="000000"/>
                <w:kern w:val="28"/>
                <w:sz w:val="18"/>
                <w:szCs w:val="18"/>
                <w:vertAlign w:val="superscript"/>
              </w:rPr>
              <w:t>#</w:t>
            </w:r>
          </w:p>
        </w:tc>
        <w:tc>
          <w:tcPr>
            <w:tcW w:w="632"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EC59BF" w:rsidRDefault="004A1E54" w:rsidP="004A1E54">
            <w:pPr>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5.6</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cs="Calibri"/>
                <w:sz w:val="18"/>
                <w:szCs w:val="18"/>
              </w:rPr>
              <w:t>4</w:t>
            </w:r>
          </w:p>
        </w:tc>
        <w:tc>
          <w:tcPr>
            <w:tcW w:w="889"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570E1A" w:rsidRDefault="004A1E54" w:rsidP="004A1E54">
            <w:pPr>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7.3</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12</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14.5</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29.2</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3C5252" w:rsidRDefault="004A1E54" w:rsidP="004A1E54">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28.3</w:t>
            </w:r>
          </w:p>
        </w:tc>
        <w:tc>
          <w:tcPr>
            <w:tcW w:w="729"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820083"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37</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820083"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0.7</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0B07FD"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0B07FD">
              <w:rPr>
                <w:rFonts w:cs="Calibri"/>
                <w:sz w:val="18"/>
                <w:szCs w:val="18"/>
              </w:rPr>
              <w:t>14</w:t>
            </w:r>
          </w:p>
        </w:tc>
        <w:tc>
          <w:tcPr>
            <w:tcW w:w="624" w:type="dxa"/>
            <w:tcBorders>
              <w:top w:val="single" w:sz="8" w:space="0" w:color="404040" w:themeColor="text1" w:themeTint="BF"/>
              <w:bottom w:val="single" w:sz="8" w:space="0" w:color="404040" w:themeColor="text1" w:themeTint="BF"/>
              <w:right w:val="single" w:sz="8" w:space="0" w:color="404040" w:themeColor="text1" w:themeTint="BF"/>
            </w:tcBorders>
            <w:shd w:val="clear" w:color="auto" w:fill="FFFFFF" w:themeFill="background1"/>
            <w:vAlign w:val="center"/>
            <w:hideMark/>
          </w:tcPr>
          <w:p w:rsidR="004A1E54" w:rsidRPr="000B07FD"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0B07FD">
              <w:rPr>
                <w:rFonts w:cs="Calibri"/>
                <w:sz w:val="18"/>
                <w:szCs w:val="18"/>
              </w:rPr>
              <w:t>6.4</w:t>
            </w:r>
          </w:p>
        </w:tc>
      </w:tr>
      <w:tr w:rsidR="00A7488F" w:rsidRPr="003C5252" w:rsidTr="002E10A3">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95"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vAlign w:val="center"/>
            <w:hideMark/>
          </w:tcPr>
          <w:p w:rsidR="004A1E54" w:rsidRPr="003C5252" w:rsidRDefault="004A1E54" w:rsidP="004A1E54">
            <w:pPr>
              <w:rPr>
                <w:rFonts w:eastAsia="Times New Roman" w:cs="Calibri"/>
              </w:rPr>
            </w:pPr>
            <w:r w:rsidRPr="003C5252">
              <w:rPr>
                <w:rFonts w:cs="Calibri"/>
              </w:rPr>
              <w:t>Johnston</w:t>
            </w:r>
          </w:p>
        </w:tc>
        <w:tc>
          <w:tcPr>
            <w:tcW w:w="73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cs="Calibri"/>
                <w:sz w:val="18"/>
                <w:szCs w:val="18"/>
              </w:rPr>
              <w:t>33</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6555A1"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1.5</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cs="Calibri"/>
                <w:sz w:val="18"/>
                <w:szCs w:val="18"/>
              </w:rPr>
              <w:t>1</w:t>
            </w:r>
            <w:r w:rsidRPr="003C5252">
              <w:rPr>
                <w:rFonts w:eastAsia="Times New Roman" w:cs="Calibri"/>
                <w:color w:val="000000"/>
                <w:kern w:val="28"/>
                <w:sz w:val="18"/>
                <w:szCs w:val="18"/>
                <w:vertAlign w:val="superscript"/>
              </w:rPr>
              <w:t>#</w:t>
            </w:r>
          </w:p>
        </w:tc>
        <w:tc>
          <w:tcPr>
            <w:tcW w:w="54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0.1</w:t>
            </w:r>
          </w:p>
        </w:tc>
        <w:tc>
          <w:tcPr>
            <w:tcW w:w="757"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cs="Calibri"/>
                <w:sz w:val="18"/>
                <w:szCs w:val="18"/>
              </w:rPr>
              <w:t>80</w:t>
            </w:r>
            <w:r w:rsidRPr="003C5252">
              <w:rPr>
                <w:rFonts w:eastAsia="Times New Roman" w:cs="Calibri"/>
                <w:color w:val="000000"/>
                <w:kern w:val="28"/>
                <w:sz w:val="18"/>
                <w:szCs w:val="18"/>
                <w:vertAlign w:val="superscript"/>
              </w:rPr>
              <w:t>#</w:t>
            </w:r>
          </w:p>
        </w:tc>
        <w:tc>
          <w:tcPr>
            <w:tcW w:w="632"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EC59BF" w:rsidRDefault="004A1E54" w:rsidP="004A1E54">
            <w:pPr>
              <w:jc w:val="center"/>
              <w:cnfStyle w:val="000000010000" w:firstRow="0" w:lastRow="0" w:firstColumn="0" w:lastColumn="0" w:oddVBand="0" w:evenVBand="0" w:oddHBand="0" w:evenHBand="1" w:firstRowFirstColumn="0" w:firstRowLastColumn="0" w:lastRowFirstColumn="0" w:lastRowLastColumn="0"/>
              <w:rPr>
                <w:rFonts w:cs="Calibri"/>
                <w:sz w:val="18"/>
                <w:szCs w:val="18"/>
              </w:rPr>
            </w:pPr>
            <w:r>
              <w:rPr>
                <w:rFonts w:cs="Calibri"/>
                <w:sz w:val="18"/>
                <w:szCs w:val="18"/>
              </w:rPr>
              <w:t>7.3</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cs="Calibri"/>
                <w:sz w:val="18"/>
                <w:szCs w:val="18"/>
              </w:rPr>
              <w:t>-</w:t>
            </w:r>
          </w:p>
        </w:tc>
        <w:tc>
          <w:tcPr>
            <w:tcW w:w="889"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cs="Calibri"/>
                <w:sz w:val="18"/>
                <w:szCs w:val="18"/>
              </w:rPr>
              <w:t>-</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ascii="Times New Roman" w:eastAsia="Times New Roman" w:hAnsi="Times New Roman"/>
                <w:color w:val="000000"/>
                <w:sz w:val="18"/>
                <w:szCs w:val="18"/>
              </w:rPr>
              <w:t>̴</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ascii="Times New Roman" w:eastAsia="Times New Roman" w:hAnsi="Times New Roman"/>
                <w:color w:val="000000"/>
                <w:sz w:val="18"/>
                <w:szCs w:val="18"/>
              </w:rPr>
              <w:t>̴</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17.5</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3C5252" w:rsidRDefault="004A1E54" w:rsidP="004A1E54">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19.1</w:t>
            </w:r>
          </w:p>
        </w:tc>
        <w:tc>
          <w:tcPr>
            <w:tcW w:w="729"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820083"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22</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820083"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Pr>
                <w:rFonts w:eastAsia="Times New Roman" w:cs="Calibri"/>
                <w:sz w:val="18"/>
                <w:szCs w:val="18"/>
              </w:rPr>
              <w:t>1.0</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0B07FD"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sidRPr="000B07FD">
              <w:rPr>
                <w:rFonts w:cs="Calibri"/>
                <w:sz w:val="18"/>
                <w:szCs w:val="18"/>
              </w:rPr>
              <w:t>2</w:t>
            </w:r>
          </w:p>
        </w:tc>
        <w:tc>
          <w:tcPr>
            <w:tcW w:w="624" w:type="dxa"/>
            <w:tcBorders>
              <w:top w:val="single" w:sz="8" w:space="0" w:color="404040" w:themeColor="text1" w:themeTint="BF"/>
              <w:bottom w:val="single" w:sz="8" w:space="0" w:color="404040" w:themeColor="text1" w:themeTint="BF"/>
              <w:right w:val="single" w:sz="8" w:space="0" w:color="404040" w:themeColor="text1" w:themeTint="BF"/>
            </w:tcBorders>
            <w:shd w:val="clear" w:color="auto" w:fill="FFFFFF" w:themeFill="background1"/>
            <w:vAlign w:val="center"/>
            <w:hideMark/>
          </w:tcPr>
          <w:p w:rsidR="004A1E54" w:rsidRPr="000B07FD"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sidRPr="000B07FD">
              <w:rPr>
                <w:rFonts w:cs="Calibri"/>
                <w:sz w:val="18"/>
                <w:szCs w:val="18"/>
              </w:rPr>
              <w:t>2.2</w:t>
            </w:r>
          </w:p>
        </w:tc>
      </w:tr>
      <w:tr w:rsidR="00A7488F" w:rsidRPr="003C5252" w:rsidTr="002E10A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95"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vAlign w:val="center"/>
            <w:hideMark/>
          </w:tcPr>
          <w:p w:rsidR="004A1E54" w:rsidRPr="003C5252" w:rsidRDefault="004A1E54" w:rsidP="004A1E54">
            <w:pPr>
              <w:rPr>
                <w:rFonts w:eastAsia="Times New Roman" w:cs="Calibri"/>
              </w:rPr>
            </w:pPr>
            <w:r w:rsidRPr="003C5252">
              <w:rPr>
                <w:rFonts w:cs="Calibri"/>
              </w:rPr>
              <w:t>Love</w:t>
            </w:r>
          </w:p>
        </w:tc>
        <w:tc>
          <w:tcPr>
            <w:tcW w:w="73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cs="Calibri"/>
                <w:sz w:val="18"/>
                <w:szCs w:val="18"/>
              </w:rPr>
              <w:t>17</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6555A1"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0.9</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cs="Calibri"/>
                <w:sz w:val="18"/>
                <w:szCs w:val="18"/>
              </w:rPr>
              <w:t>-</w:t>
            </w:r>
          </w:p>
        </w:tc>
        <w:tc>
          <w:tcPr>
            <w:tcW w:w="54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w:t>
            </w:r>
          </w:p>
        </w:tc>
        <w:tc>
          <w:tcPr>
            <w:tcW w:w="757"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cs="Calibri"/>
                <w:sz w:val="18"/>
                <w:szCs w:val="18"/>
              </w:rPr>
              <w:t>65</w:t>
            </w:r>
            <w:r w:rsidRPr="003C5252">
              <w:rPr>
                <w:rFonts w:eastAsia="Times New Roman" w:cs="Calibri"/>
                <w:color w:val="000000"/>
                <w:kern w:val="28"/>
                <w:sz w:val="18"/>
                <w:szCs w:val="18"/>
                <w:vertAlign w:val="superscript"/>
              </w:rPr>
              <w:t>#</w:t>
            </w:r>
          </w:p>
        </w:tc>
        <w:tc>
          <w:tcPr>
            <w:tcW w:w="632"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EC59BF" w:rsidRDefault="004A1E54" w:rsidP="004A1E54">
            <w:pPr>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6.9</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cs="Calibri"/>
                <w:sz w:val="18"/>
                <w:szCs w:val="18"/>
              </w:rPr>
              <w:t>1</w:t>
            </w:r>
          </w:p>
        </w:tc>
        <w:tc>
          <w:tcPr>
            <w:tcW w:w="889"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cs="Calibri"/>
                <w:sz w:val="18"/>
                <w:szCs w:val="18"/>
              </w:rPr>
              <w:t>10.6</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ascii="Times New Roman" w:eastAsia="Times New Roman" w:hAnsi="Times New Roman"/>
                <w:color w:val="000000"/>
                <w:sz w:val="18"/>
                <w:szCs w:val="18"/>
              </w:rPr>
              <w:t>̴</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ascii="Times New Roman" w:eastAsia="Times New Roman" w:hAnsi="Times New Roman"/>
                <w:color w:val="000000"/>
                <w:sz w:val="18"/>
                <w:szCs w:val="18"/>
              </w:rPr>
              <w:t>̴</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21.6</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3C5252" w:rsidRDefault="004A1E54" w:rsidP="004A1E54">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30.8</w:t>
            </w:r>
          </w:p>
        </w:tc>
        <w:tc>
          <w:tcPr>
            <w:tcW w:w="729"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820083"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w:t>
            </w:r>
            <w:r w:rsidRPr="00820083">
              <w:rPr>
                <w:rFonts w:eastAsia="Times New Roman" w:cs="Calibri"/>
                <w:color w:val="000000"/>
                <w:sz w:val="18"/>
                <w:szCs w:val="18"/>
              </w:rPr>
              <w:t>2</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820083"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1.0</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0B07FD"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0B07FD">
              <w:rPr>
                <w:rFonts w:cs="Calibri"/>
                <w:sz w:val="18"/>
                <w:szCs w:val="18"/>
              </w:rPr>
              <w:t>3</w:t>
            </w:r>
          </w:p>
        </w:tc>
        <w:tc>
          <w:tcPr>
            <w:tcW w:w="624" w:type="dxa"/>
            <w:tcBorders>
              <w:top w:val="single" w:sz="8" w:space="0" w:color="404040" w:themeColor="text1" w:themeTint="BF"/>
              <w:bottom w:val="single" w:sz="8" w:space="0" w:color="404040" w:themeColor="text1" w:themeTint="BF"/>
              <w:right w:val="single" w:sz="8" w:space="0" w:color="404040" w:themeColor="text1" w:themeTint="BF"/>
            </w:tcBorders>
            <w:shd w:val="clear" w:color="auto" w:fill="FFFFFF" w:themeFill="background1"/>
            <w:vAlign w:val="center"/>
            <w:hideMark/>
          </w:tcPr>
          <w:p w:rsidR="004A1E54" w:rsidRPr="000B07FD"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0B07FD">
              <w:rPr>
                <w:rFonts w:cs="Calibri"/>
                <w:sz w:val="18"/>
                <w:szCs w:val="18"/>
              </w:rPr>
              <w:t>4.5</w:t>
            </w:r>
          </w:p>
        </w:tc>
      </w:tr>
      <w:tr w:rsidR="00A7488F" w:rsidRPr="003C5252" w:rsidTr="002E10A3">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95"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vAlign w:val="center"/>
            <w:hideMark/>
          </w:tcPr>
          <w:p w:rsidR="004A1E54" w:rsidRPr="003C5252" w:rsidRDefault="004A1E54" w:rsidP="004A1E54">
            <w:pPr>
              <w:rPr>
                <w:rFonts w:eastAsia="Times New Roman" w:cs="Calibri"/>
              </w:rPr>
            </w:pPr>
            <w:r w:rsidRPr="003C5252">
              <w:rPr>
                <w:rFonts w:cs="Calibri"/>
              </w:rPr>
              <w:t>Marshall</w:t>
            </w:r>
          </w:p>
        </w:tc>
        <w:tc>
          <w:tcPr>
            <w:tcW w:w="73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cs="Calibri"/>
                <w:sz w:val="18"/>
                <w:szCs w:val="18"/>
              </w:rPr>
              <w:t>37</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6555A1"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1.2</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cs="Calibri"/>
                <w:sz w:val="18"/>
                <w:szCs w:val="18"/>
              </w:rPr>
              <w:t>1</w:t>
            </w:r>
            <w:r w:rsidRPr="003C5252">
              <w:rPr>
                <w:rFonts w:eastAsia="Times New Roman" w:cs="Calibri"/>
                <w:color w:val="000000"/>
                <w:kern w:val="28"/>
                <w:sz w:val="18"/>
                <w:szCs w:val="18"/>
                <w:vertAlign w:val="superscript"/>
              </w:rPr>
              <w:t>#</w:t>
            </w:r>
          </w:p>
        </w:tc>
        <w:tc>
          <w:tcPr>
            <w:tcW w:w="54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0.1</w:t>
            </w:r>
          </w:p>
        </w:tc>
        <w:tc>
          <w:tcPr>
            <w:tcW w:w="757"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cs="Calibri"/>
                <w:sz w:val="18"/>
                <w:szCs w:val="18"/>
              </w:rPr>
              <w:t>78</w:t>
            </w:r>
            <w:r w:rsidRPr="003C5252">
              <w:rPr>
                <w:rFonts w:eastAsia="Times New Roman" w:cs="Calibri"/>
                <w:color w:val="000000"/>
                <w:kern w:val="28"/>
                <w:sz w:val="18"/>
                <w:szCs w:val="18"/>
                <w:vertAlign w:val="superscript"/>
              </w:rPr>
              <w:t>#</w:t>
            </w:r>
          </w:p>
        </w:tc>
        <w:tc>
          <w:tcPr>
            <w:tcW w:w="632"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EC59BF" w:rsidRDefault="004A1E54" w:rsidP="004A1E54">
            <w:pPr>
              <w:jc w:val="center"/>
              <w:cnfStyle w:val="000000010000" w:firstRow="0" w:lastRow="0" w:firstColumn="0" w:lastColumn="0" w:oddVBand="0" w:evenVBand="0" w:oddHBand="0" w:evenHBand="1" w:firstRowFirstColumn="0" w:firstRowLastColumn="0" w:lastRowFirstColumn="0" w:lastRowLastColumn="0"/>
              <w:rPr>
                <w:rFonts w:cs="Calibri"/>
                <w:sz w:val="18"/>
                <w:szCs w:val="18"/>
              </w:rPr>
            </w:pPr>
            <w:r>
              <w:rPr>
                <w:rFonts w:cs="Calibri"/>
                <w:sz w:val="18"/>
                <w:szCs w:val="18"/>
              </w:rPr>
              <w:t>4.9</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cs="Calibri"/>
                <w:sz w:val="18"/>
                <w:szCs w:val="18"/>
              </w:rPr>
              <w:t>1</w:t>
            </w:r>
          </w:p>
        </w:tc>
        <w:tc>
          <w:tcPr>
            <w:tcW w:w="889"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cs="Calibri"/>
                <w:sz w:val="18"/>
                <w:szCs w:val="18"/>
              </w:rPr>
              <w:t>6.3</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ascii="Times New Roman" w:eastAsia="Times New Roman" w:hAnsi="Times New Roman"/>
                <w:color w:val="000000"/>
                <w:sz w:val="18"/>
                <w:szCs w:val="18"/>
              </w:rPr>
              <w:t>̴</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ascii="Times New Roman" w:eastAsia="Times New Roman" w:hAnsi="Times New Roman"/>
                <w:color w:val="000000"/>
                <w:sz w:val="18"/>
                <w:szCs w:val="18"/>
              </w:rPr>
              <w:t>̴</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16.5</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tcPr>
          <w:p w:rsidR="004A1E54" w:rsidRPr="003C5252" w:rsidRDefault="004A1E54" w:rsidP="004A1E54">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17.7</w:t>
            </w:r>
          </w:p>
        </w:tc>
        <w:tc>
          <w:tcPr>
            <w:tcW w:w="729"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820083"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25</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820083"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Pr>
                <w:rFonts w:eastAsia="Times New Roman" w:cs="Calibri"/>
                <w:sz w:val="18"/>
                <w:szCs w:val="18"/>
              </w:rPr>
              <w:t>0.8</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0B07FD"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sidRPr="000B07FD">
              <w:rPr>
                <w:rFonts w:cs="Calibri"/>
                <w:sz w:val="18"/>
                <w:szCs w:val="18"/>
              </w:rPr>
              <w:t>4</w:t>
            </w:r>
          </w:p>
        </w:tc>
        <w:tc>
          <w:tcPr>
            <w:tcW w:w="624" w:type="dxa"/>
            <w:tcBorders>
              <w:top w:val="single" w:sz="8" w:space="0" w:color="404040" w:themeColor="text1" w:themeTint="BF"/>
              <w:bottom w:val="single" w:sz="8" w:space="0" w:color="404040" w:themeColor="text1" w:themeTint="BF"/>
              <w:right w:val="single" w:sz="8" w:space="0" w:color="404040" w:themeColor="text1" w:themeTint="BF"/>
            </w:tcBorders>
            <w:shd w:val="clear" w:color="auto" w:fill="FFFFFF" w:themeFill="background1"/>
            <w:vAlign w:val="center"/>
            <w:hideMark/>
          </w:tcPr>
          <w:p w:rsidR="004A1E54" w:rsidRPr="000B07FD"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sidRPr="000B07FD">
              <w:rPr>
                <w:rFonts w:cs="Calibri"/>
                <w:sz w:val="18"/>
                <w:szCs w:val="18"/>
              </w:rPr>
              <w:t>3.3</w:t>
            </w:r>
          </w:p>
        </w:tc>
      </w:tr>
      <w:tr w:rsidR="00A7488F" w:rsidRPr="003C5252" w:rsidTr="002E10A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95"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vAlign w:val="center"/>
            <w:hideMark/>
          </w:tcPr>
          <w:p w:rsidR="004A1E54" w:rsidRPr="003C5252" w:rsidRDefault="004A1E54" w:rsidP="004A1E54">
            <w:pPr>
              <w:rPr>
                <w:rFonts w:eastAsia="Times New Roman" w:cs="Calibri"/>
              </w:rPr>
            </w:pPr>
            <w:r w:rsidRPr="003C5252">
              <w:rPr>
                <w:rFonts w:cs="Calibri"/>
              </w:rPr>
              <w:t>Murray</w:t>
            </w:r>
          </w:p>
        </w:tc>
        <w:tc>
          <w:tcPr>
            <w:tcW w:w="73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cs="Calibri"/>
                <w:sz w:val="18"/>
                <w:szCs w:val="18"/>
              </w:rPr>
              <w:t>13</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6555A1"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0.5</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cs="Calibri"/>
                <w:sz w:val="18"/>
                <w:szCs w:val="18"/>
              </w:rPr>
              <w:t>1</w:t>
            </w:r>
            <w:r w:rsidRPr="003C5252">
              <w:rPr>
                <w:rFonts w:eastAsia="Times New Roman" w:cs="Calibri"/>
                <w:color w:val="000000"/>
                <w:kern w:val="28"/>
                <w:sz w:val="18"/>
                <w:szCs w:val="18"/>
                <w:vertAlign w:val="superscript"/>
              </w:rPr>
              <w:t>#</w:t>
            </w:r>
          </w:p>
        </w:tc>
        <w:tc>
          <w:tcPr>
            <w:tcW w:w="54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0.1</w:t>
            </w:r>
          </w:p>
        </w:tc>
        <w:tc>
          <w:tcPr>
            <w:tcW w:w="757"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cs="Calibri"/>
                <w:sz w:val="18"/>
                <w:szCs w:val="18"/>
              </w:rPr>
              <w:t>116</w:t>
            </w:r>
            <w:r w:rsidRPr="003C5252">
              <w:rPr>
                <w:rFonts w:eastAsia="Times New Roman" w:cs="Calibri"/>
                <w:color w:val="000000"/>
                <w:kern w:val="28"/>
                <w:sz w:val="18"/>
                <w:szCs w:val="18"/>
                <w:vertAlign w:val="superscript"/>
              </w:rPr>
              <w:t>#</w:t>
            </w:r>
          </w:p>
        </w:tc>
        <w:tc>
          <w:tcPr>
            <w:tcW w:w="632"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EC59BF" w:rsidRDefault="004A1E54" w:rsidP="004A1E54">
            <w:pPr>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8.6</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cs="Calibri"/>
                <w:sz w:val="18"/>
                <w:szCs w:val="18"/>
              </w:rPr>
              <w:t>4</w:t>
            </w:r>
          </w:p>
        </w:tc>
        <w:tc>
          <w:tcPr>
            <w:tcW w:w="889"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14.8</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ascii="Times New Roman" w:eastAsia="Times New Roman" w:hAnsi="Times New Roman"/>
                <w:color w:val="000000"/>
                <w:sz w:val="18"/>
                <w:szCs w:val="18"/>
              </w:rPr>
              <w:t>̴</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ascii="Times New Roman" w:eastAsia="Times New Roman" w:hAnsi="Times New Roman"/>
                <w:color w:val="000000"/>
                <w:sz w:val="18"/>
                <w:szCs w:val="18"/>
              </w:rPr>
              <w:t>̴</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26.8</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22.7</w:t>
            </w:r>
          </w:p>
        </w:tc>
        <w:tc>
          <w:tcPr>
            <w:tcW w:w="729"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820083"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23</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820083"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0.9</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0B07FD"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0B07FD">
              <w:rPr>
                <w:rFonts w:cs="Calibri"/>
                <w:sz w:val="18"/>
                <w:szCs w:val="18"/>
              </w:rPr>
              <w:t>5</w:t>
            </w:r>
          </w:p>
        </w:tc>
        <w:tc>
          <w:tcPr>
            <w:tcW w:w="624" w:type="dxa"/>
            <w:tcBorders>
              <w:top w:val="single" w:sz="8" w:space="0" w:color="404040" w:themeColor="text1" w:themeTint="BF"/>
              <w:bottom w:val="single" w:sz="8" w:space="0" w:color="404040" w:themeColor="text1" w:themeTint="BF"/>
              <w:right w:val="single" w:sz="8" w:space="0" w:color="404040" w:themeColor="text1" w:themeTint="BF"/>
            </w:tcBorders>
            <w:shd w:val="clear" w:color="auto" w:fill="FFFFFF" w:themeFill="background1"/>
            <w:vAlign w:val="center"/>
            <w:hideMark/>
          </w:tcPr>
          <w:p w:rsidR="004A1E54" w:rsidRPr="000B07FD" w:rsidRDefault="004A1E54" w:rsidP="004A1E54">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0B07FD">
              <w:rPr>
                <w:rFonts w:cs="Calibri"/>
                <w:sz w:val="18"/>
                <w:szCs w:val="18"/>
              </w:rPr>
              <w:t>5.0</w:t>
            </w:r>
          </w:p>
        </w:tc>
      </w:tr>
      <w:tr w:rsidR="00A7488F" w:rsidRPr="003C5252" w:rsidTr="002E10A3">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95" w:type="dxa"/>
            <w:tcBorders>
              <w:top w:val="single" w:sz="8" w:space="0" w:color="404040" w:themeColor="text1" w:themeTint="BF"/>
              <w:left w:val="single" w:sz="8" w:space="0" w:color="404040" w:themeColor="text1" w:themeTint="BF"/>
              <w:bottom w:val="single" w:sz="8" w:space="0" w:color="404040" w:themeColor="text1" w:themeTint="BF"/>
            </w:tcBorders>
            <w:shd w:val="clear" w:color="auto" w:fill="BFBFBF" w:themeFill="background1" w:themeFillShade="BF"/>
            <w:vAlign w:val="center"/>
            <w:hideMark/>
          </w:tcPr>
          <w:p w:rsidR="004A1E54" w:rsidRPr="003C5252" w:rsidRDefault="004A1E54" w:rsidP="004A1E54">
            <w:pPr>
              <w:rPr>
                <w:rFonts w:eastAsia="Times New Roman" w:cs="Calibri"/>
              </w:rPr>
            </w:pPr>
            <w:r w:rsidRPr="003C5252">
              <w:rPr>
                <w:rFonts w:cs="Calibri"/>
              </w:rPr>
              <w:t>Pontotoc</w:t>
            </w:r>
          </w:p>
        </w:tc>
        <w:tc>
          <w:tcPr>
            <w:tcW w:w="73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cs="Calibri"/>
                <w:sz w:val="18"/>
                <w:szCs w:val="18"/>
              </w:rPr>
              <w:t>51</w:t>
            </w:r>
          </w:p>
        </w:tc>
        <w:tc>
          <w:tcPr>
            <w:tcW w:w="630"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6555A1"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0.7</w:t>
            </w:r>
          </w:p>
        </w:tc>
        <w:tc>
          <w:tcPr>
            <w:tcW w:w="63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cs="Calibri"/>
                <w:sz w:val="18"/>
                <w:szCs w:val="18"/>
              </w:rPr>
              <w:t>7</w:t>
            </w:r>
            <w:r w:rsidRPr="003C5252">
              <w:rPr>
                <w:rFonts w:eastAsia="Times New Roman" w:cs="Calibri"/>
                <w:color w:val="000000"/>
                <w:kern w:val="28"/>
                <w:sz w:val="18"/>
                <w:szCs w:val="18"/>
                <w:vertAlign w:val="superscript"/>
              </w:rPr>
              <w:t>#</w:t>
            </w:r>
          </w:p>
        </w:tc>
        <w:tc>
          <w:tcPr>
            <w:tcW w:w="540"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0.2</w:t>
            </w:r>
          </w:p>
        </w:tc>
        <w:tc>
          <w:tcPr>
            <w:tcW w:w="757"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cs="Calibri"/>
                <w:sz w:val="18"/>
                <w:szCs w:val="18"/>
              </w:rPr>
              <w:t>616</w:t>
            </w:r>
            <w:r w:rsidRPr="003C5252">
              <w:rPr>
                <w:rFonts w:eastAsia="Times New Roman" w:cs="Calibri"/>
                <w:color w:val="000000"/>
                <w:kern w:val="28"/>
                <w:sz w:val="18"/>
                <w:szCs w:val="18"/>
                <w:vertAlign w:val="superscript"/>
              </w:rPr>
              <w:t>#</w:t>
            </w:r>
          </w:p>
        </w:tc>
        <w:tc>
          <w:tcPr>
            <w:tcW w:w="632"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EC59BF" w:rsidRDefault="004A1E54" w:rsidP="004A1E54">
            <w:pPr>
              <w:jc w:val="center"/>
              <w:cnfStyle w:val="000000010000" w:firstRow="0" w:lastRow="0" w:firstColumn="0" w:lastColumn="0" w:oddVBand="0" w:evenVBand="0" w:oddHBand="0" w:evenHBand="1" w:firstRowFirstColumn="0" w:firstRowLastColumn="0" w:lastRowFirstColumn="0" w:lastRowLastColumn="0"/>
              <w:rPr>
                <w:rFonts w:cs="Calibri"/>
                <w:sz w:val="18"/>
                <w:szCs w:val="18"/>
              </w:rPr>
            </w:pPr>
            <w:r>
              <w:rPr>
                <w:rFonts w:cs="Calibri"/>
                <w:sz w:val="18"/>
                <w:szCs w:val="18"/>
              </w:rPr>
              <w:t>16.4</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cs="Calibri"/>
                <w:sz w:val="18"/>
                <w:szCs w:val="18"/>
              </w:rPr>
              <w:t>6</w:t>
            </w:r>
          </w:p>
        </w:tc>
        <w:tc>
          <w:tcPr>
            <w:tcW w:w="889"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8.0</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28</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3C5252"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24.8</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13.9</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3C5252" w:rsidRDefault="004A1E54" w:rsidP="004A1E54">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14.8</w:t>
            </w:r>
          </w:p>
        </w:tc>
        <w:tc>
          <w:tcPr>
            <w:tcW w:w="729"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820083"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Pr>
                <w:rFonts w:eastAsia="Times New Roman" w:cs="Calibri"/>
                <w:color w:val="000000"/>
                <w:sz w:val="18"/>
                <w:szCs w:val="18"/>
              </w:rPr>
              <w:t>83</w:t>
            </w:r>
          </w:p>
        </w:tc>
        <w:tc>
          <w:tcPr>
            <w:tcW w:w="623" w:type="dxa"/>
            <w:tcBorders>
              <w:top w:val="single" w:sz="8" w:space="0" w:color="404040" w:themeColor="text1" w:themeTint="BF"/>
              <w:bottom w:val="single" w:sz="8" w:space="0" w:color="404040" w:themeColor="text1" w:themeTint="BF"/>
            </w:tcBorders>
            <w:shd w:val="clear" w:color="auto" w:fill="DBE5F1" w:themeFill="accent1" w:themeFillTint="33"/>
            <w:vAlign w:val="center"/>
            <w:hideMark/>
          </w:tcPr>
          <w:p w:rsidR="004A1E54" w:rsidRPr="00820083"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sz w:val="18"/>
                <w:szCs w:val="18"/>
              </w:rPr>
            </w:pPr>
            <w:r>
              <w:rPr>
                <w:rFonts w:eastAsia="Times New Roman" w:cs="Calibri"/>
                <w:sz w:val="18"/>
                <w:szCs w:val="18"/>
              </w:rPr>
              <w:t>1.1</w:t>
            </w:r>
          </w:p>
        </w:tc>
        <w:tc>
          <w:tcPr>
            <w:tcW w:w="623" w:type="dxa"/>
            <w:tcBorders>
              <w:top w:val="single" w:sz="8" w:space="0" w:color="404040" w:themeColor="text1" w:themeTint="BF"/>
              <w:bottom w:val="single" w:sz="8" w:space="0" w:color="404040" w:themeColor="text1" w:themeTint="BF"/>
            </w:tcBorders>
            <w:shd w:val="clear" w:color="auto" w:fill="FFFFFF" w:themeFill="background1"/>
            <w:vAlign w:val="center"/>
            <w:hideMark/>
          </w:tcPr>
          <w:p w:rsidR="004A1E54" w:rsidRPr="000B07FD"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sidRPr="000B07FD">
              <w:rPr>
                <w:rFonts w:cs="Calibri"/>
                <w:sz w:val="18"/>
                <w:szCs w:val="18"/>
              </w:rPr>
              <w:t>17</w:t>
            </w:r>
          </w:p>
        </w:tc>
        <w:tc>
          <w:tcPr>
            <w:tcW w:w="624" w:type="dxa"/>
            <w:tcBorders>
              <w:top w:val="single" w:sz="8" w:space="0" w:color="404040" w:themeColor="text1" w:themeTint="BF"/>
              <w:bottom w:val="single" w:sz="8" w:space="0" w:color="404040" w:themeColor="text1" w:themeTint="BF"/>
              <w:right w:val="single" w:sz="8" w:space="0" w:color="404040" w:themeColor="text1" w:themeTint="BF"/>
            </w:tcBorders>
            <w:shd w:val="clear" w:color="auto" w:fill="FFFFFF" w:themeFill="background1"/>
            <w:vAlign w:val="center"/>
            <w:hideMark/>
          </w:tcPr>
          <w:p w:rsidR="004A1E54" w:rsidRPr="000B07FD" w:rsidRDefault="004A1E54" w:rsidP="004A1E54">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18"/>
              </w:rPr>
            </w:pPr>
            <w:r w:rsidRPr="000B07FD">
              <w:rPr>
                <w:rFonts w:cs="Calibri"/>
                <w:sz w:val="18"/>
                <w:szCs w:val="18"/>
              </w:rPr>
              <w:t>5.4</w:t>
            </w:r>
          </w:p>
        </w:tc>
      </w:tr>
      <w:tr w:rsidR="004A1E54" w:rsidRPr="003C5252" w:rsidTr="001237B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520" w:type="dxa"/>
            <w:gridSpan w:val="17"/>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hideMark/>
          </w:tcPr>
          <w:p w:rsidR="004A1E54" w:rsidRDefault="004A1E54" w:rsidP="004A1E54">
            <w:pPr>
              <w:jc w:val="center"/>
              <w:rPr>
                <w:rFonts w:cs="Calibri"/>
                <w:sz w:val="18"/>
                <w:szCs w:val="18"/>
              </w:rPr>
            </w:pPr>
            <w:r w:rsidRPr="003C5252">
              <w:rPr>
                <w:rFonts w:cs="Calibri"/>
                <w:sz w:val="18"/>
                <w:szCs w:val="18"/>
              </w:rPr>
              <w:t>Sources: Uniform Crime Reports (UCR), Oklahoma State Bureau of Investigation (OSBI), Fatality Ana</w:t>
            </w:r>
            <w:r>
              <w:rPr>
                <w:rFonts w:cs="Calibri"/>
                <w:sz w:val="18"/>
                <w:szCs w:val="18"/>
              </w:rPr>
              <w:t>lysis Reporting System (FARS),</w:t>
            </w:r>
            <w:r w:rsidRPr="003C5252">
              <w:rPr>
                <w:rFonts w:cs="Calibri"/>
                <w:sz w:val="18"/>
                <w:szCs w:val="18"/>
              </w:rPr>
              <w:t xml:space="preserve"> </w:t>
            </w:r>
            <w:r>
              <w:rPr>
                <w:rFonts w:cs="Calibri"/>
                <w:sz w:val="18"/>
                <w:szCs w:val="18"/>
              </w:rPr>
              <w:t xml:space="preserve">National Vital Statistics System (NVSS), </w:t>
            </w:r>
            <w:r w:rsidRPr="003C5252">
              <w:rPr>
                <w:rFonts w:cs="Calibri"/>
                <w:sz w:val="18"/>
                <w:szCs w:val="18"/>
              </w:rPr>
              <w:t xml:space="preserve">Oklahoma Department of Mental Health and Substance Abuse Services (ODMHSAS), </w:t>
            </w:r>
          </w:p>
          <w:p w:rsidR="004A1E54" w:rsidRPr="003C5252" w:rsidRDefault="004A1E54" w:rsidP="004A1E54">
            <w:pPr>
              <w:jc w:val="center"/>
              <w:rPr>
                <w:rFonts w:eastAsia="Times New Roman" w:cs="Calibri"/>
                <w:color w:val="000000"/>
                <w:sz w:val="18"/>
                <w:szCs w:val="18"/>
              </w:rPr>
            </w:pPr>
            <w:r w:rsidRPr="003C5252">
              <w:rPr>
                <w:rFonts w:cs="Calibri"/>
                <w:sz w:val="18"/>
                <w:szCs w:val="18"/>
              </w:rPr>
              <w:t>Oklahoma State Department of Health (OSDH)</w:t>
            </w:r>
          </w:p>
        </w:tc>
      </w:tr>
    </w:tbl>
    <w:p w:rsidR="00E52F59" w:rsidRPr="003C0BDF" w:rsidRDefault="001B70B4" w:rsidP="00E52F59">
      <w:pPr>
        <w:widowControl w:val="0"/>
        <w:spacing w:after="0" w:line="240" w:lineRule="auto"/>
        <w:jc w:val="center"/>
        <w:rPr>
          <w:rFonts w:ascii="Calibri" w:eastAsia="Times New Roman" w:hAnsi="Calibri" w:cs="Calibri"/>
          <w:color w:val="000000"/>
          <w:kern w:val="28"/>
          <w:sz w:val="18"/>
          <w:szCs w:val="18"/>
        </w:rPr>
      </w:pPr>
      <w:r w:rsidRPr="003C5252">
        <w:rPr>
          <w:rFonts w:ascii="Calibri" w:eastAsia="Times New Roman" w:hAnsi="Calibri" w:cs="Calibri"/>
          <w:color w:val="000000"/>
          <w:kern w:val="28"/>
          <w:sz w:val="18"/>
          <w:szCs w:val="18"/>
        </w:rPr>
        <w:t>*Rate per 1,000 population</w:t>
      </w:r>
      <w:r w:rsidR="00FC1BA8">
        <w:rPr>
          <w:rFonts w:ascii="Calibri" w:eastAsia="Times New Roman" w:hAnsi="Calibri" w:cs="Calibri"/>
          <w:color w:val="000000"/>
          <w:kern w:val="28"/>
          <w:sz w:val="18"/>
          <w:szCs w:val="18"/>
        </w:rPr>
        <w:t>.</w:t>
      </w:r>
      <w:r w:rsidRPr="003C5252">
        <w:rPr>
          <w:rFonts w:ascii="Calibri" w:eastAsia="Times New Roman" w:hAnsi="Calibri" w:cs="Calibri"/>
          <w:color w:val="000000"/>
          <w:kern w:val="28"/>
          <w:sz w:val="18"/>
          <w:szCs w:val="18"/>
        </w:rPr>
        <w:t xml:space="preserve">     ^Rate per 100,000 population</w:t>
      </w:r>
      <w:r w:rsidR="00E52F59">
        <w:rPr>
          <w:rFonts w:ascii="Calibri" w:eastAsia="Times New Roman" w:hAnsi="Calibri" w:cs="Calibri"/>
          <w:color w:val="000000"/>
          <w:kern w:val="28"/>
          <w:sz w:val="18"/>
          <w:szCs w:val="18"/>
        </w:rPr>
        <w:t>.</w:t>
      </w:r>
      <w:r w:rsidRPr="003C5252">
        <w:rPr>
          <w:rFonts w:ascii="Calibri" w:eastAsia="Times New Roman" w:hAnsi="Calibri" w:cs="Calibri"/>
          <w:color w:val="000000"/>
          <w:kern w:val="28"/>
          <w:sz w:val="18"/>
          <w:szCs w:val="18"/>
        </w:rPr>
        <w:t xml:space="preserve">   </w:t>
      </w:r>
      <w:r w:rsidR="00E52F59">
        <w:rPr>
          <w:rFonts w:ascii="Calibri" w:eastAsia="Times New Roman" w:hAnsi="Calibri" w:cs="Calibri"/>
          <w:color w:val="000000"/>
          <w:kern w:val="28"/>
          <w:sz w:val="18"/>
          <w:szCs w:val="18"/>
        </w:rPr>
        <w:t xml:space="preserve">- No Data. </w:t>
      </w:r>
      <w:r w:rsidRPr="003C5252">
        <w:rPr>
          <w:rFonts w:ascii="Calibri" w:eastAsia="Times New Roman" w:hAnsi="Calibri" w:cs="Calibri"/>
          <w:color w:val="000000"/>
          <w:kern w:val="28"/>
          <w:sz w:val="18"/>
          <w:szCs w:val="18"/>
          <w:vertAlign w:val="superscript"/>
        </w:rPr>
        <w:t>#</w:t>
      </w:r>
      <w:proofErr w:type="gramStart"/>
      <w:r w:rsidRPr="003C5252">
        <w:rPr>
          <w:rFonts w:ascii="Calibri" w:eastAsia="Times New Roman" w:hAnsi="Calibri" w:cs="Calibri"/>
          <w:color w:val="000000"/>
          <w:kern w:val="28"/>
          <w:sz w:val="18"/>
          <w:szCs w:val="18"/>
        </w:rPr>
        <w:t>All</w:t>
      </w:r>
      <w:proofErr w:type="gramEnd"/>
      <w:r w:rsidRPr="003C5252">
        <w:rPr>
          <w:rFonts w:ascii="Calibri" w:eastAsia="Times New Roman" w:hAnsi="Calibri" w:cs="Calibri"/>
          <w:color w:val="000000"/>
          <w:kern w:val="28"/>
          <w:sz w:val="18"/>
          <w:szCs w:val="18"/>
        </w:rPr>
        <w:t xml:space="preserve"> years not represented</w:t>
      </w:r>
      <w:r w:rsidR="00E52F59">
        <w:rPr>
          <w:rFonts w:ascii="Calibri" w:eastAsia="Times New Roman" w:hAnsi="Calibri" w:cs="Calibri"/>
          <w:color w:val="000000"/>
          <w:kern w:val="28"/>
          <w:sz w:val="18"/>
          <w:szCs w:val="18"/>
        </w:rPr>
        <w:t>.</w:t>
      </w:r>
      <w:r w:rsidR="003C0BDF">
        <w:rPr>
          <w:rFonts w:ascii="Calibri" w:eastAsia="Times New Roman" w:hAnsi="Calibri" w:cs="Calibri"/>
          <w:color w:val="000000"/>
          <w:kern w:val="28"/>
          <w:sz w:val="18"/>
          <w:szCs w:val="18"/>
        </w:rPr>
        <w:t xml:space="preserve">  </w:t>
      </w:r>
      <w:r w:rsidR="003C0BDF">
        <w:rPr>
          <w:rFonts w:ascii="Times New Roman" w:eastAsia="Times New Roman" w:hAnsi="Times New Roman" w:cs="Times New Roman"/>
          <w:color w:val="000000"/>
          <w:kern w:val="28"/>
          <w:sz w:val="18"/>
          <w:szCs w:val="18"/>
        </w:rPr>
        <w:t xml:space="preserve">̴ </w:t>
      </w:r>
      <w:r w:rsidR="003C0BDF" w:rsidRPr="003C0BDF">
        <w:rPr>
          <w:rFonts w:ascii="Calibri" w:eastAsia="Times New Roman" w:hAnsi="Calibri" w:cs="Calibri"/>
          <w:color w:val="000000"/>
          <w:kern w:val="28"/>
          <w:sz w:val="18"/>
          <w:szCs w:val="18"/>
        </w:rPr>
        <w:t>Suppressed Data.</w:t>
      </w:r>
    </w:p>
    <w:p w:rsidR="001B70B4" w:rsidRPr="00E52F59" w:rsidRDefault="00E52F59" w:rsidP="00E52F59">
      <w:pPr>
        <w:widowControl w:val="0"/>
        <w:spacing w:after="0" w:line="240" w:lineRule="auto"/>
        <w:jc w:val="center"/>
        <w:rPr>
          <w:rFonts w:ascii="Calibri" w:eastAsia="Times New Roman" w:hAnsi="Calibri" w:cs="Calibri"/>
          <w:color w:val="000000"/>
          <w:kern w:val="28"/>
          <w:sz w:val="18"/>
          <w:szCs w:val="18"/>
        </w:rPr>
      </w:pPr>
      <w:r w:rsidRPr="00E52F59">
        <w:rPr>
          <w:rFonts w:ascii="Calibri" w:eastAsia="Times New Roman" w:hAnsi="Calibri" w:cs="Calibri"/>
          <w:color w:val="000000"/>
          <w:kern w:val="28"/>
          <w:sz w:val="18"/>
          <w:szCs w:val="18"/>
        </w:rPr>
        <w:t>Population based on 2010 Census.</w:t>
      </w:r>
    </w:p>
    <w:p w:rsidR="001B70B4" w:rsidRPr="003C5252" w:rsidRDefault="001B70B4" w:rsidP="001B70B4">
      <w:pPr>
        <w:spacing w:after="0" w:line="240" w:lineRule="auto"/>
        <w:rPr>
          <w:rFonts w:ascii="Times New Roman" w:eastAsia="Times New Roman" w:hAnsi="Times New Roman" w:cs="Times New Roman"/>
          <w:color w:val="000000"/>
          <w:kern w:val="28"/>
          <w:sz w:val="20"/>
          <w:szCs w:val="20"/>
        </w:rPr>
      </w:pPr>
    </w:p>
    <w:p w:rsidR="001B70B4" w:rsidRPr="00A25EC9" w:rsidRDefault="001B70B4" w:rsidP="00F455A6">
      <w:pPr>
        <w:jc w:val="both"/>
        <w:rPr>
          <w:rFonts w:ascii="Calibri" w:hAnsi="Calibri" w:cs="Calibri"/>
          <w:sz w:val="24"/>
          <w:szCs w:val="24"/>
        </w:rPr>
      </w:pPr>
      <w:r w:rsidRPr="00A25EC9">
        <w:rPr>
          <w:rFonts w:ascii="Calibri" w:hAnsi="Calibri" w:cs="Calibri"/>
          <w:sz w:val="24"/>
          <w:szCs w:val="24"/>
        </w:rPr>
        <w:t xml:space="preserve">According to the NVSS, alcohol related mortalities are a significant concern for this region.  </w:t>
      </w:r>
      <w:r w:rsidR="00F455A6" w:rsidRPr="00A25EC9">
        <w:rPr>
          <w:rFonts w:ascii="Calibri" w:hAnsi="Calibri" w:cs="Calibri"/>
          <w:sz w:val="24"/>
          <w:szCs w:val="24"/>
        </w:rPr>
        <w:t xml:space="preserve">Carter and Pontotoc counties </w:t>
      </w:r>
      <w:r w:rsidRPr="00A25EC9">
        <w:rPr>
          <w:rFonts w:ascii="Calibri" w:hAnsi="Calibri" w:cs="Calibri"/>
          <w:sz w:val="24"/>
          <w:szCs w:val="24"/>
        </w:rPr>
        <w:t>have a high chronic liver disease fatality rate when co</w:t>
      </w:r>
      <w:r w:rsidR="00F455A6" w:rsidRPr="00A25EC9">
        <w:rPr>
          <w:rFonts w:ascii="Calibri" w:hAnsi="Calibri" w:cs="Calibri"/>
          <w:sz w:val="24"/>
          <w:szCs w:val="24"/>
        </w:rPr>
        <w:t xml:space="preserve">mpared with the state rate of </w:t>
      </w:r>
      <w:r w:rsidR="00046610">
        <w:rPr>
          <w:rFonts w:ascii="Calibri" w:hAnsi="Calibri" w:cs="Calibri"/>
          <w:sz w:val="24"/>
          <w:szCs w:val="24"/>
        </w:rPr>
        <w:t>(</w:t>
      </w:r>
      <w:r w:rsidR="00F455A6" w:rsidRPr="00A25EC9">
        <w:rPr>
          <w:rFonts w:ascii="Calibri" w:hAnsi="Calibri" w:cs="Calibri"/>
          <w:sz w:val="24"/>
          <w:szCs w:val="24"/>
        </w:rPr>
        <w:t>16</w:t>
      </w:r>
      <w:r w:rsidRPr="00A25EC9">
        <w:rPr>
          <w:rFonts w:ascii="Calibri" w:hAnsi="Calibri" w:cs="Calibri"/>
          <w:sz w:val="24"/>
          <w:szCs w:val="24"/>
        </w:rPr>
        <w:t>.2</w:t>
      </w:r>
      <w:r w:rsidR="00046610">
        <w:rPr>
          <w:rFonts w:ascii="Calibri" w:hAnsi="Calibri" w:cs="Calibri"/>
          <w:sz w:val="24"/>
          <w:szCs w:val="24"/>
        </w:rPr>
        <w:t>)</w:t>
      </w:r>
      <w:r w:rsidRPr="00A25EC9">
        <w:rPr>
          <w:rFonts w:ascii="Calibri" w:hAnsi="Calibri" w:cs="Calibri"/>
          <w:sz w:val="24"/>
          <w:szCs w:val="24"/>
        </w:rPr>
        <w:t>.  Carter County has the hig</w:t>
      </w:r>
      <w:r w:rsidR="00F455A6" w:rsidRPr="00A25EC9">
        <w:rPr>
          <w:rFonts w:ascii="Calibri" w:hAnsi="Calibri" w:cs="Calibri"/>
          <w:sz w:val="24"/>
          <w:szCs w:val="24"/>
        </w:rPr>
        <w:t xml:space="preserve">hest rate for the region at </w:t>
      </w:r>
      <w:r w:rsidR="00046610">
        <w:rPr>
          <w:rFonts w:ascii="Calibri" w:hAnsi="Calibri" w:cs="Calibri"/>
          <w:sz w:val="24"/>
          <w:szCs w:val="24"/>
        </w:rPr>
        <w:t>(</w:t>
      </w:r>
      <w:r w:rsidR="00F455A6" w:rsidRPr="00A25EC9">
        <w:rPr>
          <w:rFonts w:ascii="Calibri" w:hAnsi="Calibri" w:cs="Calibri"/>
          <w:sz w:val="24"/>
          <w:szCs w:val="24"/>
        </w:rPr>
        <w:t>25.2</w:t>
      </w:r>
      <w:r w:rsidR="00046610">
        <w:rPr>
          <w:rFonts w:ascii="Calibri" w:hAnsi="Calibri" w:cs="Calibri"/>
          <w:sz w:val="24"/>
          <w:szCs w:val="24"/>
        </w:rPr>
        <w:t>)</w:t>
      </w:r>
      <w:r w:rsidRPr="00A25EC9">
        <w:rPr>
          <w:rFonts w:ascii="Calibri" w:hAnsi="Calibri" w:cs="Calibri"/>
          <w:sz w:val="24"/>
          <w:szCs w:val="24"/>
        </w:rPr>
        <w:t xml:space="preserve">, followed by </w:t>
      </w:r>
      <w:r w:rsidR="00F455A6" w:rsidRPr="00A25EC9">
        <w:rPr>
          <w:rFonts w:ascii="Calibri" w:hAnsi="Calibri" w:cs="Calibri"/>
          <w:sz w:val="24"/>
          <w:szCs w:val="24"/>
        </w:rPr>
        <w:t xml:space="preserve">Pontotoc County at </w:t>
      </w:r>
      <w:r w:rsidR="00046610">
        <w:rPr>
          <w:rFonts w:ascii="Calibri" w:hAnsi="Calibri" w:cs="Calibri"/>
          <w:sz w:val="24"/>
          <w:szCs w:val="24"/>
        </w:rPr>
        <w:t>(</w:t>
      </w:r>
      <w:r w:rsidR="00F455A6" w:rsidRPr="00A25EC9">
        <w:rPr>
          <w:rFonts w:ascii="Calibri" w:hAnsi="Calibri" w:cs="Calibri"/>
          <w:sz w:val="24"/>
          <w:szCs w:val="24"/>
        </w:rPr>
        <w:t>24.8</w:t>
      </w:r>
      <w:r w:rsidR="00046610">
        <w:rPr>
          <w:rFonts w:ascii="Calibri" w:hAnsi="Calibri" w:cs="Calibri"/>
          <w:sz w:val="24"/>
          <w:szCs w:val="24"/>
        </w:rPr>
        <w:t>)</w:t>
      </w:r>
      <w:r w:rsidRPr="00A25EC9">
        <w:rPr>
          <w:rFonts w:ascii="Calibri" w:hAnsi="Calibri" w:cs="Calibri"/>
          <w:sz w:val="24"/>
          <w:szCs w:val="24"/>
        </w:rPr>
        <w:t>. Alcohol related motor vehicle mortality percentages are also high for this region.  With the exception of Johnston County (</w:t>
      </w:r>
      <w:r w:rsidR="00F455A6" w:rsidRPr="00A25EC9">
        <w:rPr>
          <w:rFonts w:ascii="Calibri" w:hAnsi="Calibri" w:cs="Calibri"/>
          <w:sz w:val="24"/>
          <w:szCs w:val="24"/>
        </w:rPr>
        <w:t>no data provided</w:t>
      </w:r>
      <w:r w:rsidRPr="00A25EC9">
        <w:rPr>
          <w:rFonts w:ascii="Calibri" w:hAnsi="Calibri" w:cs="Calibri"/>
          <w:sz w:val="24"/>
          <w:szCs w:val="24"/>
        </w:rPr>
        <w:t xml:space="preserve">), every county has a higher percentage of alcohol related motor vehicle mortalities compared to the state percentage. </w:t>
      </w:r>
      <w:r w:rsidR="00F455A6" w:rsidRPr="00A25EC9">
        <w:rPr>
          <w:rFonts w:ascii="Calibri" w:hAnsi="Calibri" w:cs="Calibri"/>
          <w:sz w:val="24"/>
          <w:szCs w:val="24"/>
        </w:rPr>
        <w:t xml:space="preserve">Murray </w:t>
      </w:r>
      <w:r w:rsidRPr="00A25EC9">
        <w:rPr>
          <w:rFonts w:ascii="Calibri" w:hAnsi="Calibri" w:cs="Calibri"/>
          <w:sz w:val="24"/>
          <w:szCs w:val="24"/>
        </w:rPr>
        <w:t>County ha</w:t>
      </w:r>
      <w:r w:rsidR="00F455A6" w:rsidRPr="00A25EC9">
        <w:rPr>
          <w:rFonts w:ascii="Calibri" w:hAnsi="Calibri" w:cs="Calibri"/>
          <w:sz w:val="24"/>
          <w:szCs w:val="24"/>
        </w:rPr>
        <w:t xml:space="preserve">s the highest percentage at </w:t>
      </w:r>
      <w:r w:rsidR="00046610">
        <w:rPr>
          <w:rFonts w:ascii="Calibri" w:hAnsi="Calibri" w:cs="Calibri"/>
          <w:sz w:val="24"/>
          <w:szCs w:val="24"/>
        </w:rPr>
        <w:t>(</w:t>
      </w:r>
      <w:r w:rsidR="00F455A6" w:rsidRPr="00A25EC9">
        <w:rPr>
          <w:rFonts w:ascii="Calibri" w:hAnsi="Calibri" w:cs="Calibri"/>
          <w:sz w:val="24"/>
          <w:szCs w:val="24"/>
        </w:rPr>
        <w:t>14.8</w:t>
      </w:r>
      <w:r w:rsidR="00046610">
        <w:rPr>
          <w:rFonts w:ascii="Calibri" w:hAnsi="Calibri" w:cs="Calibri"/>
          <w:sz w:val="24"/>
          <w:szCs w:val="24"/>
        </w:rPr>
        <w:t>)</w:t>
      </w:r>
      <w:r w:rsidRPr="00A25EC9">
        <w:rPr>
          <w:rFonts w:ascii="Calibri" w:hAnsi="Calibri" w:cs="Calibri"/>
          <w:sz w:val="24"/>
          <w:szCs w:val="24"/>
        </w:rPr>
        <w:t xml:space="preserve">, followed by </w:t>
      </w:r>
      <w:r w:rsidR="00F455A6" w:rsidRPr="00A25EC9">
        <w:rPr>
          <w:rFonts w:ascii="Calibri" w:hAnsi="Calibri" w:cs="Calibri"/>
          <w:sz w:val="24"/>
          <w:szCs w:val="24"/>
        </w:rPr>
        <w:t xml:space="preserve">Bryan County at </w:t>
      </w:r>
      <w:r w:rsidR="00046610">
        <w:rPr>
          <w:rFonts w:ascii="Calibri" w:hAnsi="Calibri" w:cs="Calibri"/>
          <w:sz w:val="24"/>
          <w:szCs w:val="24"/>
        </w:rPr>
        <w:t>(</w:t>
      </w:r>
      <w:r w:rsidR="00F455A6" w:rsidRPr="00A25EC9">
        <w:rPr>
          <w:rFonts w:ascii="Calibri" w:hAnsi="Calibri" w:cs="Calibri"/>
          <w:sz w:val="24"/>
          <w:szCs w:val="24"/>
        </w:rPr>
        <w:t>11.8</w:t>
      </w:r>
      <w:r w:rsidR="00046610">
        <w:rPr>
          <w:rFonts w:ascii="Calibri" w:hAnsi="Calibri" w:cs="Calibri"/>
          <w:sz w:val="24"/>
          <w:szCs w:val="24"/>
        </w:rPr>
        <w:t>)</w:t>
      </w:r>
      <w:r w:rsidRPr="00A25EC9">
        <w:rPr>
          <w:rFonts w:ascii="Calibri" w:hAnsi="Calibri" w:cs="Calibri"/>
          <w:sz w:val="24"/>
          <w:szCs w:val="24"/>
        </w:rPr>
        <w:t xml:space="preserve"> and </w:t>
      </w:r>
      <w:r w:rsidR="00F455A6" w:rsidRPr="00A25EC9">
        <w:rPr>
          <w:rFonts w:ascii="Calibri" w:hAnsi="Calibri" w:cs="Calibri"/>
          <w:sz w:val="24"/>
          <w:szCs w:val="24"/>
        </w:rPr>
        <w:t xml:space="preserve">Love </w:t>
      </w:r>
      <w:r w:rsidRPr="00A25EC9">
        <w:rPr>
          <w:rFonts w:ascii="Calibri" w:hAnsi="Calibri" w:cs="Calibri"/>
          <w:sz w:val="24"/>
          <w:szCs w:val="24"/>
        </w:rPr>
        <w:t xml:space="preserve">at </w:t>
      </w:r>
      <w:r w:rsidR="00046610">
        <w:rPr>
          <w:rFonts w:ascii="Calibri" w:hAnsi="Calibri" w:cs="Calibri"/>
          <w:sz w:val="24"/>
          <w:szCs w:val="24"/>
        </w:rPr>
        <w:t>(</w:t>
      </w:r>
      <w:r w:rsidR="00F455A6" w:rsidRPr="00A25EC9">
        <w:rPr>
          <w:rFonts w:ascii="Calibri" w:hAnsi="Calibri" w:cs="Calibri"/>
          <w:sz w:val="24"/>
          <w:szCs w:val="24"/>
        </w:rPr>
        <w:t>10.6</w:t>
      </w:r>
      <w:r w:rsidR="00046610">
        <w:rPr>
          <w:rFonts w:ascii="Calibri" w:hAnsi="Calibri" w:cs="Calibri"/>
          <w:sz w:val="24"/>
          <w:szCs w:val="24"/>
        </w:rPr>
        <w:t>)</w:t>
      </w:r>
      <w:r w:rsidRPr="00A25EC9">
        <w:rPr>
          <w:rFonts w:ascii="Calibri" w:hAnsi="Calibri" w:cs="Calibri"/>
          <w:sz w:val="24"/>
          <w:szCs w:val="24"/>
        </w:rPr>
        <w:t>. A relationship between alcohol and suicide has been found, relating up to 20% of suicides due to alcohol use (CSAP Indicators).  The state rate for suicide</w:t>
      </w:r>
      <w:r w:rsidR="00F455A6" w:rsidRPr="00A25EC9">
        <w:rPr>
          <w:rFonts w:ascii="Calibri" w:hAnsi="Calibri" w:cs="Calibri"/>
          <w:sz w:val="24"/>
          <w:szCs w:val="24"/>
        </w:rPr>
        <w:t xml:space="preserve"> in 2015 was </w:t>
      </w:r>
      <w:r w:rsidR="00046610">
        <w:rPr>
          <w:rFonts w:ascii="Calibri" w:hAnsi="Calibri" w:cs="Calibri"/>
          <w:sz w:val="24"/>
          <w:szCs w:val="24"/>
        </w:rPr>
        <w:t>(</w:t>
      </w:r>
      <w:r w:rsidR="00F455A6" w:rsidRPr="00A25EC9">
        <w:rPr>
          <w:rFonts w:ascii="Calibri" w:hAnsi="Calibri" w:cs="Calibri"/>
          <w:sz w:val="24"/>
          <w:szCs w:val="24"/>
        </w:rPr>
        <w:t>20.3</w:t>
      </w:r>
      <w:r w:rsidR="00046610">
        <w:rPr>
          <w:rFonts w:ascii="Calibri" w:hAnsi="Calibri" w:cs="Calibri"/>
          <w:sz w:val="24"/>
          <w:szCs w:val="24"/>
        </w:rPr>
        <w:t>)</w:t>
      </w:r>
      <w:r w:rsidRPr="00A25EC9">
        <w:rPr>
          <w:rFonts w:ascii="Calibri" w:hAnsi="Calibri" w:cs="Calibri"/>
          <w:sz w:val="24"/>
          <w:szCs w:val="24"/>
        </w:rPr>
        <w:t xml:space="preserve">.  </w:t>
      </w:r>
      <w:r w:rsidR="00F455A6" w:rsidRPr="00A25EC9">
        <w:rPr>
          <w:rFonts w:ascii="Calibri" w:hAnsi="Calibri" w:cs="Calibri"/>
          <w:sz w:val="24"/>
          <w:szCs w:val="24"/>
        </w:rPr>
        <w:t xml:space="preserve">Garvin </w:t>
      </w:r>
      <w:r w:rsidRPr="00A25EC9">
        <w:rPr>
          <w:rFonts w:ascii="Calibri" w:hAnsi="Calibri" w:cs="Calibri"/>
          <w:sz w:val="24"/>
          <w:szCs w:val="24"/>
        </w:rPr>
        <w:t>Count</w:t>
      </w:r>
      <w:r w:rsidR="00F455A6" w:rsidRPr="00A25EC9">
        <w:rPr>
          <w:rFonts w:ascii="Calibri" w:hAnsi="Calibri" w:cs="Calibri"/>
          <w:sz w:val="24"/>
          <w:szCs w:val="24"/>
        </w:rPr>
        <w:t>y had</w:t>
      </w:r>
      <w:r w:rsidRPr="00A25EC9">
        <w:rPr>
          <w:rFonts w:ascii="Calibri" w:hAnsi="Calibri" w:cs="Calibri"/>
          <w:sz w:val="24"/>
          <w:szCs w:val="24"/>
        </w:rPr>
        <w:t xml:space="preserve"> t</w:t>
      </w:r>
      <w:r w:rsidR="00D31B9C">
        <w:rPr>
          <w:rFonts w:ascii="Calibri" w:hAnsi="Calibri" w:cs="Calibri"/>
          <w:sz w:val="24"/>
          <w:szCs w:val="24"/>
        </w:rPr>
        <w:t>he highest rate of suicide</w:t>
      </w:r>
      <w:r w:rsidR="00F455A6" w:rsidRPr="00A25EC9">
        <w:rPr>
          <w:rFonts w:ascii="Calibri" w:hAnsi="Calibri" w:cs="Calibri"/>
          <w:sz w:val="24"/>
          <w:szCs w:val="24"/>
        </w:rPr>
        <w:t xml:space="preserve"> </w:t>
      </w:r>
      <w:r w:rsidR="00046610">
        <w:rPr>
          <w:rFonts w:ascii="Calibri" w:hAnsi="Calibri" w:cs="Calibri"/>
          <w:sz w:val="24"/>
          <w:szCs w:val="24"/>
        </w:rPr>
        <w:t>(</w:t>
      </w:r>
      <w:r w:rsidR="00F455A6" w:rsidRPr="00A25EC9">
        <w:rPr>
          <w:rFonts w:ascii="Calibri" w:hAnsi="Calibri" w:cs="Calibri"/>
          <w:sz w:val="24"/>
          <w:szCs w:val="24"/>
        </w:rPr>
        <w:t>29.2</w:t>
      </w:r>
      <w:r w:rsidR="00046610">
        <w:rPr>
          <w:rFonts w:ascii="Calibri" w:hAnsi="Calibri" w:cs="Calibri"/>
          <w:sz w:val="24"/>
          <w:szCs w:val="24"/>
        </w:rPr>
        <w:t>)</w:t>
      </w:r>
      <w:r w:rsidR="00D31B9C">
        <w:rPr>
          <w:rFonts w:ascii="Calibri" w:hAnsi="Calibri" w:cs="Calibri"/>
          <w:sz w:val="24"/>
          <w:szCs w:val="24"/>
        </w:rPr>
        <w:t>, followed by Murray</w:t>
      </w:r>
      <w:r w:rsidR="00400FDD" w:rsidRPr="00A25EC9">
        <w:rPr>
          <w:rFonts w:ascii="Calibri" w:hAnsi="Calibri" w:cs="Calibri"/>
          <w:sz w:val="24"/>
          <w:szCs w:val="24"/>
        </w:rPr>
        <w:t xml:space="preserve"> </w:t>
      </w:r>
      <w:r w:rsidR="00046610">
        <w:rPr>
          <w:rFonts w:ascii="Calibri" w:hAnsi="Calibri" w:cs="Calibri"/>
          <w:sz w:val="24"/>
          <w:szCs w:val="24"/>
        </w:rPr>
        <w:t>(</w:t>
      </w:r>
      <w:r w:rsidR="00400FDD" w:rsidRPr="00A25EC9">
        <w:rPr>
          <w:rFonts w:ascii="Calibri" w:hAnsi="Calibri" w:cs="Calibri"/>
          <w:sz w:val="24"/>
          <w:szCs w:val="24"/>
        </w:rPr>
        <w:t>26.8</w:t>
      </w:r>
      <w:r w:rsidR="00046610">
        <w:rPr>
          <w:rFonts w:ascii="Calibri" w:hAnsi="Calibri" w:cs="Calibri"/>
          <w:sz w:val="24"/>
          <w:szCs w:val="24"/>
        </w:rPr>
        <w:t>)</w:t>
      </w:r>
      <w:r w:rsidRPr="00A25EC9">
        <w:rPr>
          <w:rFonts w:ascii="Calibri" w:hAnsi="Calibri" w:cs="Calibri"/>
          <w:sz w:val="24"/>
          <w:szCs w:val="24"/>
        </w:rPr>
        <w:t xml:space="preserve"> and</w:t>
      </w:r>
      <w:r w:rsidR="00D31B9C">
        <w:rPr>
          <w:rFonts w:ascii="Calibri" w:hAnsi="Calibri" w:cs="Calibri"/>
          <w:sz w:val="24"/>
          <w:szCs w:val="24"/>
        </w:rPr>
        <w:t xml:space="preserve"> Carter</w:t>
      </w:r>
      <w:r w:rsidR="00400FDD" w:rsidRPr="00A25EC9">
        <w:rPr>
          <w:rFonts w:ascii="Calibri" w:hAnsi="Calibri" w:cs="Calibri"/>
          <w:sz w:val="24"/>
          <w:szCs w:val="24"/>
        </w:rPr>
        <w:t xml:space="preserve"> </w:t>
      </w:r>
      <w:r w:rsidR="00046610">
        <w:rPr>
          <w:rFonts w:ascii="Calibri" w:hAnsi="Calibri" w:cs="Calibri"/>
          <w:sz w:val="24"/>
          <w:szCs w:val="24"/>
        </w:rPr>
        <w:t>(</w:t>
      </w:r>
      <w:r w:rsidR="00400FDD" w:rsidRPr="00A25EC9">
        <w:rPr>
          <w:rFonts w:ascii="Calibri" w:hAnsi="Calibri" w:cs="Calibri"/>
          <w:sz w:val="24"/>
          <w:szCs w:val="24"/>
        </w:rPr>
        <w:t>24.3</w:t>
      </w:r>
      <w:r w:rsidR="00046610">
        <w:rPr>
          <w:rFonts w:ascii="Calibri" w:hAnsi="Calibri" w:cs="Calibri"/>
          <w:sz w:val="24"/>
          <w:szCs w:val="24"/>
        </w:rPr>
        <w:t>)</w:t>
      </w:r>
      <w:r w:rsidRPr="00A25EC9">
        <w:rPr>
          <w:rFonts w:ascii="Calibri" w:hAnsi="Calibri" w:cs="Calibri"/>
          <w:sz w:val="24"/>
          <w:szCs w:val="24"/>
        </w:rPr>
        <w:t xml:space="preserve">. All Region 10 counties, with the exception of </w:t>
      </w:r>
      <w:r w:rsidR="00400FDD" w:rsidRPr="00A25EC9">
        <w:rPr>
          <w:rFonts w:ascii="Calibri" w:hAnsi="Calibri" w:cs="Calibri"/>
          <w:sz w:val="24"/>
          <w:szCs w:val="24"/>
        </w:rPr>
        <w:t xml:space="preserve">Bryan, Johnston, Marshall and Pontotoc </w:t>
      </w:r>
      <w:r w:rsidRPr="00A25EC9">
        <w:rPr>
          <w:rFonts w:ascii="Calibri" w:hAnsi="Calibri" w:cs="Calibri"/>
          <w:sz w:val="24"/>
          <w:szCs w:val="24"/>
        </w:rPr>
        <w:t>have an elevated suicide rate when compared to the state.</w:t>
      </w:r>
    </w:p>
    <w:p w:rsidR="001B70B4" w:rsidRPr="00A25EC9" w:rsidRDefault="001B70B4" w:rsidP="00400FDD">
      <w:pPr>
        <w:jc w:val="both"/>
        <w:rPr>
          <w:rFonts w:ascii="Calibri" w:hAnsi="Calibri" w:cs="Calibri"/>
          <w:sz w:val="24"/>
          <w:szCs w:val="24"/>
        </w:rPr>
      </w:pPr>
      <w:r w:rsidRPr="00A25EC9">
        <w:rPr>
          <w:rFonts w:ascii="Calibri" w:hAnsi="Calibri" w:cs="Calibri"/>
          <w:sz w:val="24"/>
          <w:szCs w:val="24"/>
        </w:rPr>
        <w:t xml:space="preserve">Violent Crime rates were also analyzed due to the nature of the correlational relationship between alcohol and violent crimes (CSAP Indicators).  The state rate </w:t>
      </w:r>
      <w:r w:rsidR="00400FDD" w:rsidRPr="00A25EC9">
        <w:rPr>
          <w:rFonts w:ascii="Calibri" w:hAnsi="Calibri" w:cs="Calibri"/>
          <w:sz w:val="24"/>
          <w:szCs w:val="24"/>
        </w:rPr>
        <w:t xml:space="preserve">for violent crime is </w:t>
      </w:r>
      <w:r w:rsidR="00046610">
        <w:rPr>
          <w:rFonts w:ascii="Calibri" w:hAnsi="Calibri" w:cs="Calibri"/>
          <w:sz w:val="24"/>
          <w:szCs w:val="24"/>
        </w:rPr>
        <w:t>(</w:t>
      </w:r>
      <w:r w:rsidR="00400FDD" w:rsidRPr="00A25EC9">
        <w:rPr>
          <w:rFonts w:ascii="Calibri" w:hAnsi="Calibri" w:cs="Calibri"/>
          <w:sz w:val="24"/>
          <w:szCs w:val="24"/>
        </w:rPr>
        <w:t>4.6</w:t>
      </w:r>
      <w:r w:rsidR="00046610">
        <w:rPr>
          <w:rFonts w:ascii="Calibri" w:hAnsi="Calibri" w:cs="Calibri"/>
          <w:sz w:val="24"/>
          <w:szCs w:val="24"/>
        </w:rPr>
        <w:t>)</w:t>
      </w:r>
      <w:r w:rsidRPr="00A25EC9">
        <w:rPr>
          <w:rFonts w:ascii="Calibri" w:hAnsi="Calibri" w:cs="Calibri"/>
          <w:sz w:val="24"/>
          <w:szCs w:val="24"/>
        </w:rPr>
        <w:t xml:space="preserve">. The Oklahoma State Bureau of Investigation data showed that the alcohol related arrests for </w:t>
      </w:r>
      <w:r w:rsidRPr="00A25EC9">
        <w:rPr>
          <w:rFonts w:ascii="Calibri" w:hAnsi="Calibri" w:cs="Calibri"/>
          <w:sz w:val="24"/>
          <w:szCs w:val="24"/>
        </w:rPr>
        <w:lastRenderedPageBreak/>
        <w:t xml:space="preserve">juveniles </w:t>
      </w:r>
      <w:r w:rsidR="00046610">
        <w:rPr>
          <w:rFonts w:ascii="Calibri" w:hAnsi="Calibri" w:cs="Calibri"/>
          <w:sz w:val="24"/>
          <w:szCs w:val="24"/>
        </w:rPr>
        <w:t>for the state is (</w:t>
      </w:r>
      <w:r w:rsidR="00400FDD" w:rsidRPr="00A25EC9">
        <w:rPr>
          <w:rFonts w:ascii="Calibri" w:hAnsi="Calibri" w:cs="Calibri"/>
          <w:sz w:val="24"/>
          <w:szCs w:val="24"/>
        </w:rPr>
        <w:t>0.2</w:t>
      </w:r>
      <w:r w:rsidR="00046610">
        <w:rPr>
          <w:rFonts w:ascii="Calibri" w:hAnsi="Calibri" w:cs="Calibri"/>
          <w:sz w:val="24"/>
          <w:szCs w:val="24"/>
        </w:rPr>
        <w:t>)</w:t>
      </w:r>
      <w:r w:rsidRPr="00A25EC9">
        <w:rPr>
          <w:rFonts w:ascii="Calibri" w:hAnsi="Calibri" w:cs="Calibri"/>
          <w:sz w:val="24"/>
          <w:szCs w:val="24"/>
        </w:rPr>
        <w:t xml:space="preserve">. </w:t>
      </w:r>
      <w:r w:rsidR="00400FDD" w:rsidRPr="00A25EC9">
        <w:rPr>
          <w:rFonts w:ascii="Calibri" w:hAnsi="Calibri" w:cs="Calibri"/>
          <w:sz w:val="24"/>
          <w:szCs w:val="24"/>
        </w:rPr>
        <w:t>Bryan</w:t>
      </w:r>
      <w:r w:rsidR="00046610">
        <w:rPr>
          <w:rFonts w:ascii="Calibri" w:hAnsi="Calibri" w:cs="Calibri"/>
          <w:sz w:val="24"/>
          <w:szCs w:val="24"/>
        </w:rPr>
        <w:t xml:space="preserve"> </w:t>
      </w:r>
      <w:r w:rsidR="00400FDD" w:rsidRPr="00A25EC9">
        <w:rPr>
          <w:rFonts w:ascii="Calibri" w:hAnsi="Calibri" w:cs="Calibri"/>
          <w:sz w:val="24"/>
          <w:szCs w:val="24"/>
        </w:rPr>
        <w:t>and Pontotoc</w:t>
      </w:r>
      <w:r w:rsidR="00046610">
        <w:rPr>
          <w:rFonts w:ascii="Calibri" w:hAnsi="Calibri" w:cs="Calibri"/>
          <w:sz w:val="24"/>
          <w:szCs w:val="24"/>
        </w:rPr>
        <w:t xml:space="preserve"> C</w:t>
      </w:r>
      <w:r w:rsidRPr="00A25EC9">
        <w:rPr>
          <w:rFonts w:ascii="Calibri" w:hAnsi="Calibri" w:cs="Calibri"/>
          <w:sz w:val="24"/>
          <w:szCs w:val="24"/>
        </w:rPr>
        <w:t>ounties have the highest alcohol related arrest rate for juveniles in Region 10</w:t>
      </w:r>
      <w:r w:rsidR="00046610">
        <w:rPr>
          <w:rFonts w:ascii="Calibri" w:hAnsi="Calibri" w:cs="Calibri"/>
          <w:sz w:val="24"/>
          <w:szCs w:val="24"/>
        </w:rPr>
        <w:t xml:space="preserve"> (0.2)</w:t>
      </w:r>
      <w:r w:rsidRPr="00A25EC9">
        <w:rPr>
          <w:rFonts w:ascii="Calibri" w:hAnsi="Calibri" w:cs="Calibri"/>
          <w:sz w:val="24"/>
          <w:szCs w:val="24"/>
        </w:rPr>
        <w:t xml:space="preserve">. However, adult alcohol related arrests are consistently higher for most of the counties within this region.  Carter </w:t>
      </w:r>
      <w:r w:rsidR="00400FDD" w:rsidRPr="00A25EC9">
        <w:rPr>
          <w:rFonts w:ascii="Calibri" w:hAnsi="Calibri" w:cs="Calibri"/>
          <w:sz w:val="24"/>
          <w:szCs w:val="24"/>
        </w:rPr>
        <w:t>and Pontotoc Counties</w:t>
      </w:r>
      <w:r w:rsidRPr="00A25EC9">
        <w:rPr>
          <w:rFonts w:ascii="Calibri" w:hAnsi="Calibri" w:cs="Calibri"/>
          <w:sz w:val="24"/>
          <w:szCs w:val="24"/>
        </w:rPr>
        <w:t xml:space="preserve"> have the highest rates.  </w:t>
      </w:r>
      <w:r w:rsidR="00400FDD" w:rsidRPr="00A25EC9">
        <w:rPr>
          <w:rFonts w:ascii="Calibri" w:hAnsi="Calibri" w:cs="Calibri"/>
          <w:sz w:val="24"/>
          <w:szCs w:val="24"/>
        </w:rPr>
        <w:t xml:space="preserve">Carter </w:t>
      </w:r>
      <w:r w:rsidRPr="00A25EC9">
        <w:rPr>
          <w:rFonts w:ascii="Calibri" w:hAnsi="Calibri" w:cs="Calibri"/>
          <w:sz w:val="24"/>
          <w:szCs w:val="24"/>
        </w:rPr>
        <w:t xml:space="preserve">adult alcohol related arrest rate is </w:t>
      </w:r>
      <w:r w:rsidR="00046610">
        <w:rPr>
          <w:rFonts w:ascii="Calibri" w:hAnsi="Calibri" w:cs="Calibri"/>
          <w:sz w:val="24"/>
          <w:szCs w:val="24"/>
        </w:rPr>
        <w:t>(</w:t>
      </w:r>
      <w:r w:rsidRPr="00A25EC9">
        <w:rPr>
          <w:rFonts w:ascii="Calibri" w:hAnsi="Calibri" w:cs="Calibri"/>
          <w:sz w:val="24"/>
          <w:szCs w:val="24"/>
        </w:rPr>
        <w:t>1</w:t>
      </w:r>
      <w:r w:rsidR="00400FDD" w:rsidRPr="00A25EC9">
        <w:rPr>
          <w:rFonts w:ascii="Calibri" w:hAnsi="Calibri" w:cs="Calibri"/>
          <w:sz w:val="24"/>
          <w:szCs w:val="24"/>
        </w:rPr>
        <w:t>4.8</w:t>
      </w:r>
      <w:r w:rsidR="00046610">
        <w:rPr>
          <w:rFonts w:ascii="Calibri" w:hAnsi="Calibri" w:cs="Calibri"/>
          <w:sz w:val="24"/>
          <w:szCs w:val="24"/>
        </w:rPr>
        <w:t>)</w:t>
      </w:r>
      <w:r w:rsidR="00400FDD" w:rsidRPr="00A25EC9">
        <w:rPr>
          <w:rFonts w:ascii="Calibri" w:hAnsi="Calibri" w:cs="Calibri"/>
          <w:sz w:val="24"/>
          <w:szCs w:val="24"/>
        </w:rPr>
        <w:t xml:space="preserve"> and Pontotoc is </w:t>
      </w:r>
      <w:r w:rsidR="00046610">
        <w:rPr>
          <w:rFonts w:ascii="Calibri" w:hAnsi="Calibri" w:cs="Calibri"/>
          <w:sz w:val="24"/>
          <w:szCs w:val="24"/>
        </w:rPr>
        <w:t>(</w:t>
      </w:r>
      <w:r w:rsidR="00400FDD" w:rsidRPr="00A25EC9">
        <w:rPr>
          <w:rFonts w:ascii="Calibri" w:hAnsi="Calibri" w:cs="Calibri"/>
          <w:sz w:val="24"/>
          <w:szCs w:val="24"/>
        </w:rPr>
        <w:t>16.4</w:t>
      </w:r>
      <w:r w:rsidR="00046610">
        <w:rPr>
          <w:rFonts w:ascii="Calibri" w:hAnsi="Calibri" w:cs="Calibri"/>
          <w:sz w:val="24"/>
          <w:szCs w:val="24"/>
        </w:rPr>
        <w:t>)</w:t>
      </w:r>
      <w:r w:rsidRPr="00A25EC9">
        <w:rPr>
          <w:rFonts w:ascii="Calibri" w:hAnsi="Calibri" w:cs="Calibri"/>
          <w:sz w:val="24"/>
          <w:szCs w:val="24"/>
        </w:rPr>
        <w:t>.</w:t>
      </w:r>
    </w:p>
    <w:p w:rsidR="00400FDD" w:rsidRPr="00A25EC9" w:rsidRDefault="001B70B4" w:rsidP="00400FDD">
      <w:pPr>
        <w:jc w:val="both"/>
        <w:rPr>
          <w:rFonts w:ascii="Calibri" w:hAnsi="Calibri" w:cs="Calibri"/>
          <w:sz w:val="24"/>
          <w:szCs w:val="24"/>
        </w:rPr>
      </w:pPr>
      <w:r w:rsidRPr="00A25EC9">
        <w:rPr>
          <w:rFonts w:ascii="Calibri" w:hAnsi="Calibri" w:cs="Calibri"/>
          <w:sz w:val="24"/>
          <w:szCs w:val="24"/>
        </w:rPr>
        <w:t>The data collected regarding treatment admissions are only representative of those individuals that were admitted into a facility funded by the Oklahoma Department of Mental He</w:t>
      </w:r>
      <w:r w:rsidR="00400FDD" w:rsidRPr="00A25EC9">
        <w:rPr>
          <w:rFonts w:ascii="Calibri" w:hAnsi="Calibri" w:cs="Calibri"/>
          <w:sz w:val="24"/>
          <w:szCs w:val="24"/>
        </w:rPr>
        <w:t xml:space="preserve">alth Substance Abuse Services. </w:t>
      </w:r>
      <w:r w:rsidRPr="00A25EC9">
        <w:rPr>
          <w:rFonts w:ascii="Calibri" w:hAnsi="Calibri" w:cs="Calibri"/>
          <w:sz w:val="24"/>
          <w:szCs w:val="24"/>
        </w:rPr>
        <w:t xml:space="preserve">The state rate for </w:t>
      </w:r>
      <w:r w:rsidR="00400FDD" w:rsidRPr="00A25EC9">
        <w:rPr>
          <w:rFonts w:ascii="Calibri" w:hAnsi="Calibri" w:cs="Calibri"/>
          <w:sz w:val="24"/>
          <w:szCs w:val="24"/>
        </w:rPr>
        <w:t xml:space="preserve">2015-2016 was </w:t>
      </w:r>
      <w:r w:rsidR="00046610">
        <w:rPr>
          <w:rFonts w:ascii="Calibri" w:hAnsi="Calibri" w:cs="Calibri"/>
          <w:sz w:val="24"/>
          <w:szCs w:val="24"/>
        </w:rPr>
        <w:t>(</w:t>
      </w:r>
      <w:r w:rsidR="00400FDD" w:rsidRPr="00A25EC9">
        <w:rPr>
          <w:rFonts w:ascii="Calibri" w:hAnsi="Calibri" w:cs="Calibri"/>
          <w:sz w:val="24"/>
          <w:szCs w:val="24"/>
        </w:rPr>
        <w:t>1.2</w:t>
      </w:r>
      <w:r w:rsidR="00046610">
        <w:rPr>
          <w:rFonts w:ascii="Calibri" w:hAnsi="Calibri" w:cs="Calibri"/>
          <w:sz w:val="24"/>
          <w:szCs w:val="24"/>
        </w:rPr>
        <w:t>)</w:t>
      </w:r>
      <w:r w:rsidRPr="00A25EC9">
        <w:rPr>
          <w:rFonts w:ascii="Calibri" w:hAnsi="Calibri" w:cs="Calibri"/>
          <w:sz w:val="24"/>
          <w:szCs w:val="24"/>
        </w:rPr>
        <w:t>.  Bryan County</w:t>
      </w:r>
      <w:r w:rsidR="00400FDD" w:rsidRPr="00A25EC9">
        <w:rPr>
          <w:rFonts w:ascii="Calibri" w:hAnsi="Calibri" w:cs="Calibri"/>
          <w:sz w:val="24"/>
          <w:szCs w:val="24"/>
        </w:rPr>
        <w:t xml:space="preserve"> had a</w:t>
      </w:r>
      <w:r w:rsidRPr="00A25EC9">
        <w:rPr>
          <w:rFonts w:ascii="Calibri" w:hAnsi="Calibri" w:cs="Calibri"/>
          <w:sz w:val="24"/>
          <w:szCs w:val="24"/>
        </w:rPr>
        <w:t xml:space="preserve"> higher treatment admission rates than the state with Pontoto</w:t>
      </w:r>
      <w:r w:rsidR="00400FDD" w:rsidRPr="00A25EC9">
        <w:rPr>
          <w:rFonts w:ascii="Calibri" w:hAnsi="Calibri" w:cs="Calibri"/>
          <w:sz w:val="24"/>
          <w:szCs w:val="24"/>
        </w:rPr>
        <w:t xml:space="preserve">c having the highest rate at </w:t>
      </w:r>
      <w:r w:rsidR="00046610">
        <w:rPr>
          <w:rFonts w:ascii="Calibri" w:hAnsi="Calibri" w:cs="Calibri"/>
          <w:sz w:val="24"/>
          <w:szCs w:val="24"/>
        </w:rPr>
        <w:t>(</w:t>
      </w:r>
      <w:r w:rsidR="00400FDD" w:rsidRPr="00A25EC9">
        <w:rPr>
          <w:rFonts w:ascii="Calibri" w:hAnsi="Calibri" w:cs="Calibri"/>
          <w:sz w:val="24"/>
          <w:szCs w:val="24"/>
        </w:rPr>
        <w:t>1.3</w:t>
      </w:r>
      <w:r w:rsidR="00046610">
        <w:rPr>
          <w:rFonts w:ascii="Calibri" w:hAnsi="Calibri" w:cs="Calibri"/>
          <w:sz w:val="24"/>
          <w:szCs w:val="24"/>
        </w:rPr>
        <w:t>)</w:t>
      </w:r>
      <w:r w:rsidRPr="00A25EC9">
        <w:rPr>
          <w:rFonts w:ascii="Calibri" w:hAnsi="Calibri" w:cs="Calibri"/>
          <w:sz w:val="24"/>
          <w:szCs w:val="24"/>
        </w:rPr>
        <w:t xml:space="preserve">.  Alcohol related birth rates for this region are lower than the state rate, with the exception of Garvin County and Pontotoc County.  Garvin County had the highest rate at </w:t>
      </w:r>
      <w:r w:rsidR="00046610">
        <w:rPr>
          <w:rFonts w:ascii="Calibri" w:hAnsi="Calibri" w:cs="Calibri"/>
          <w:sz w:val="24"/>
          <w:szCs w:val="24"/>
        </w:rPr>
        <w:t>(</w:t>
      </w:r>
      <w:r w:rsidRPr="00A25EC9">
        <w:rPr>
          <w:rFonts w:ascii="Calibri" w:hAnsi="Calibri" w:cs="Calibri"/>
          <w:sz w:val="24"/>
          <w:szCs w:val="24"/>
        </w:rPr>
        <w:t>6.4</w:t>
      </w:r>
      <w:r w:rsidR="00046610">
        <w:rPr>
          <w:rFonts w:ascii="Calibri" w:hAnsi="Calibri" w:cs="Calibri"/>
          <w:sz w:val="24"/>
          <w:szCs w:val="24"/>
        </w:rPr>
        <w:t>)</w:t>
      </w:r>
      <w:r w:rsidRPr="00A25EC9">
        <w:rPr>
          <w:rFonts w:ascii="Calibri" w:hAnsi="Calibri" w:cs="Calibri"/>
          <w:sz w:val="24"/>
          <w:szCs w:val="24"/>
        </w:rPr>
        <w:t xml:space="preserve"> and Pontotoc </w:t>
      </w:r>
      <w:r w:rsidR="00A25EC9">
        <w:rPr>
          <w:rFonts w:ascii="Calibri" w:hAnsi="Calibri" w:cs="Calibri"/>
          <w:sz w:val="24"/>
          <w:szCs w:val="24"/>
        </w:rPr>
        <w:t xml:space="preserve">County </w:t>
      </w:r>
      <w:r w:rsidRPr="00A25EC9">
        <w:rPr>
          <w:rFonts w:ascii="Calibri" w:hAnsi="Calibri" w:cs="Calibri"/>
          <w:sz w:val="24"/>
          <w:szCs w:val="24"/>
        </w:rPr>
        <w:t xml:space="preserve">was only slightly higher than the state rate at </w:t>
      </w:r>
      <w:r w:rsidR="00046610">
        <w:rPr>
          <w:rFonts w:ascii="Calibri" w:hAnsi="Calibri" w:cs="Calibri"/>
          <w:sz w:val="24"/>
          <w:szCs w:val="24"/>
        </w:rPr>
        <w:t>(</w:t>
      </w:r>
      <w:r w:rsidRPr="00A25EC9">
        <w:rPr>
          <w:rFonts w:ascii="Calibri" w:hAnsi="Calibri" w:cs="Calibri"/>
          <w:sz w:val="24"/>
          <w:szCs w:val="24"/>
        </w:rPr>
        <w:t>5.4</w:t>
      </w:r>
      <w:r w:rsidR="00046610">
        <w:rPr>
          <w:rFonts w:ascii="Calibri" w:hAnsi="Calibri" w:cs="Calibri"/>
          <w:sz w:val="24"/>
          <w:szCs w:val="24"/>
        </w:rPr>
        <w:t>)</w:t>
      </w:r>
      <w:r w:rsidRPr="00A25EC9">
        <w:rPr>
          <w:rFonts w:ascii="Calibri" w:hAnsi="Calibri" w:cs="Calibri"/>
          <w:sz w:val="24"/>
          <w:szCs w:val="24"/>
        </w:rPr>
        <w:t xml:space="preserve"> compared to the state </w:t>
      </w:r>
      <w:r w:rsidR="00A25EC9">
        <w:rPr>
          <w:rFonts w:ascii="Calibri" w:hAnsi="Calibri" w:cs="Calibri"/>
          <w:sz w:val="24"/>
          <w:szCs w:val="24"/>
        </w:rPr>
        <w:t xml:space="preserve">rate </w:t>
      </w:r>
      <w:r w:rsidRPr="00A25EC9">
        <w:rPr>
          <w:rFonts w:ascii="Calibri" w:hAnsi="Calibri" w:cs="Calibri"/>
          <w:sz w:val="24"/>
          <w:szCs w:val="24"/>
        </w:rPr>
        <w:t xml:space="preserve">at </w:t>
      </w:r>
      <w:r w:rsidR="00DC5D19">
        <w:rPr>
          <w:rFonts w:ascii="Calibri" w:hAnsi="Calibri" w:cs="Calibri"/>
          <w:sz w:val="24"/>
          <w:szCs w:val="24"/>
        </w:rPr>
        <w:t>(</w:t>
      </w:r>
      <w:r w:rsidRPr="00A25EC9">
        <w:rPr>
          <w:rFonts w:ascii="Calibri" w:hAnsi="Calibri" w:cs="Calibri"/>
          <w:sz w:val="24"/>
          <w:szCs w:val="24"/>
        </w:rPr>
        <w:t>5.3</w:t>
      </w:r>
      <w:r w:rsidR="00DC5D19">
        <w:rPr>
          <w:rFonts w:ascii="Calibri" w:hAnsi="Calibri" w:cs="Calibri"/>
          <w:sz w:val="24"/>
          <w:szCs w:val="24"/>
        </w:rPr>
        <w:t>)</w:t>
      </w:r>
      <w:r w:rsidRPr="00A25EC9">
        <w:rPr>
          <w:rFonts w:ascii="Calibri" w:hAnsi="Calibri" w:cs="Calibri"/>
          <w:sz w:val="24"/>
          <w:szCs w:val="24"/>
        </w:rPr>
        <w:t xml:space="preserve">.  </w:t>
      </w:r>
      <w:r w:rsidRPr="00A25EC9">
        <w:rPr>
          <w:rFonts w:ascii="Calibri" w:hAnsi="Calibri" w:cs="Calibri"/>
          <w:sz w:val="24"/>
          <w:szCs w:val="24"/>
        </w:rPr>
        <w:br/>
      </w:r>
    </w:p>
    <w:p w:rsidR="001B70B4" w:rsidRPr="00B73450" w:rsidRDefault="001B70B4" w:rsidP="00400FDD">
      <w:pPr>
        <w:jc w:val="both"/>
        <w:rPr>
          <w:rFonts w:ascii="Calibri" w:hAnsi="Calibri" w:cs="Calibri"/>
          <w:sz w:val="24"/>
          <w:szCs w:val="24"/>
        </w:rPr>
      </w:pPr>
      <w:r w:rsidRPr="00A25EC9">
        <w:rPr>
          <w:rFonts w:ascii="Calibri" w:hAnsi="Calibri" w:cs="Calibri"/>
          <w:sz w:val="24"/>
          <w:szCs w:val="24"/>
        </w:rPr>
        <w:t xml:space="preserve">The data surrounding the alcohol indicators listed in Table 6 indicate that the region has higher rates than the state related to </w:t>
      </w:r>
      <w:r w:rsidR="00A25EC9" w:rsidRPr="00A25EC9">
        <w:rPr>
          <w:rFonts w:ascii="Calibri" w:hAnsi="Calibri" w:cs="Calibri"/>
          <w:sz w:val="24"/>
          <w:szCs w:val="24"/>
        </w:rPr>
        <w:t xml:space="preserve">some of </w:t>
      </w:r>
      <w:r w:rsidRPr="00A25EC9">
        <w:rPr>
          <w:rFonts w:ascii="Calibri" w:hAnsi="Calibri" w:cs="Calibri"/>
          <w:sz w:val="24"/>
          <w:szCs w:val="24"/>
        </w:rPr>
        <w:t>the alcohol consequences.  The data suggests that mortality, crime, car fatalities and treatment rates related to alcohol use are a significant concern for Region 10 as a whole.</w:t>
      </w:r>
      <w:r w:rsidR="00B73450">
        <w:rPr>
          <w:rFonts w:ascii="Calibri" w:hAnsi="Calibri" w:cs="Calibri"/>
          <w:sz w:val="24"/>
          <w:szCs w:val="24"/>
        </w:rPr>
        <w:t xml:space="preserve">    </w:t>
      </w:r>
    </w:p>
    <w:p w:rsidR="00B73450" w:rsidRDefault="00B73450">
      <w:pPr>
        <w:rPr>
          <w:rFonts w:cstheme="minorHAnsi"/>
          <w:b/>
          <w:sz w:val="28"/>
          <w:szCs w:val="28"/>
          <w:u w:val="single"/>
        </w:rPr>
      </w:pPr>
      <w:r>
        <w:rPr>
          <w:rFonts w:cstheme="minorHAnsi"/>
          <w:b/>
          <w:sz w:val="28"/>
          <w:szCs w:val="28"/>
          <w:u w:val="single"/>
        </w:rPr>
        <w:br w:type="page"/>
      </w:r>
    </w:p>
    <w:p w:rsidR="001B70B4" w:rsidRDefault="001B70B4" w:rsidP="001B70B4">
      <w:pPr>
        <w:jc w:val="center"/>
        <w:rPr>
          <w:rFonts w:cstheme="minorHAnsi"/>
          <w:b/>
          <w:sz w:val="28"/>
          <w:szCs w:val="28"/>
          <w:u w:val="single"/>
        </w:rPr>
      </w:pPr>
    </w:p>
    <w:p w:rsidR="001B70B4" w:rsidRPr="003C5252" w:rsidRDefault="001B70B4" w:rsidP="001B70B4">
      <w:pPr>
        <w:jc w:val="center"/>
        <w:rPr>
          <w:rFonts w:cstheme="minorHAnsi"/>
          <w:b/>
          <w:sz w:val="28"/>
          <w:szCs w:val="28"/>
          <w:u w:val="single"/>
        </w:rPr>
      </w:pPr>
      <w:r w:rsidRPr="003C5252">
        <w:rPr>
          <w:rFonts w:cstheme="minorHAnsi"/>
          <w:b/>
          <w:sz w:val="28"/>
          <w:szCs w:val="28"/>
          <w:u w:val="single"/>
        </w:rPr>
        <w:t>Nonmedical Use of Prescription Drugs Consumption &amp; Consequences</w:t>
      </w:r>
    </w:p>
    <w:p w:rsidR="001B70B4" w:rsidRPr="003C5252" w:rsidRDefault="001B70B4" w:rsidP="001B70B4">
      <w:pPr>
        <w:rPr>
          <w:rFonts w:cstheme="minorHAnsi"/>
          <w:b/>
          <w:sz w:val="24"/>
          <w:szCs w:val="24"/>
        </w:rPr>
      </w:pPr>
      <w:r w:rsidRPr="003C5252">
        <w:rPr>
          <w:rFonts w:cstheme="minorHAnsi"/>
          <w:b/>
          <w:sz w:val="24"/>
          <w:szCs w:val="24"/>
        </w:rPr>
        <w:t>Consumption Data</w:t>
      </w:r>
    </w:p>
    <w:p w:rsidR="001B70B4" w:rsidRPr="003C5252" w:rsidRDefault="001B70B4" w:rsidP="001B70B4">
      <w:pPr>
        <w:jc w:val="center"/>
        <w:rPr>
          <w:rFonts w:cstheme="minorHAnsi"/>
          <w:b/>
          <w:sz w:val="24"/>
          <w:szCs w:val="24"/>
        </w:rPr>
      </w:pPr>
      <w:r w:rsidRPr="003C5252">
        <w:rPr>
          <w:rFonts w:cstheme="minorHAnsi"/>
          <w:b/>
          <w:sz w:val="24"/>
          <w:szCs w:val="24"/>
        </w:rPr>
        <w:t>Table 7:  OPNA 30 Day Prescription Drug Misuse</w:t>
      </w:r>
    </w:p>
    <w:tbl>
      <w:tblPr>
        <w:tblStyle w:val="MediumShading1111"/>
        <w:tblpPr w:leftFromText="180" w:rightFromText="180" w:vertAnchor="text" w:tblpXSpec="center" w:tblpY="1"/>
        <w:tblOverlap w:val="never"/>
        <w:tblW w:w="7580" w:type="dxa"/>
        <w:tblLayout w:type="fixed"/>
        <w:tblLook w:val="04A0" w:firstRow="1" w:lastRow="0" w:firstColumn="1" w:lastColumn="0" w:noHBand="0" w:noVBand="1"/>
      </w:tblPr>
      <w:tblGrid>
        <w:gridCol w:w="1259"/>
        <w:gridCol w:w="815"/>
        <w:gridCol w:w="767"/>
        <w:gridCol w:w="828"/>
        <w:gridCol w:w="828"/>
        <w:gridCol w:w="767"/>
        <w:gridCol w:w="772"/>
        <w:gridCol w:w="772"/>
        <w:gridCol w:w="772"/>
      </w:tblGrid>
      <w:tr w:rsidR="001B70B4" w:rsidRPr="003C5252" w:rsidTr="001237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259" w:type="dxa"/>
            <w:vMerge w:val="restart"/>
            <w:tcBorders>
              <w:top w:val="threeDEngrave" w:sz="12" w:space="0" w:color="auto"/>
              <w:left w:val="threeDEngrave" w:sz="12" w:space="0" w:color="auto"/>
              <w:bottom w:val="threeDEngrave" w:sz="12" w:space="0" w:color="auto"/>
              <w:right w:val="threeDEngrave" w:sz="12" w:space="0" w:color="auto"/>
            </w:tcBorders>
            <w:shd w:val="clear" w:color="auto" w:fill="BFBFBF" w:themeFill="background1" w:themeFillShade="BF"/>
            <w:textDirection w:val="btLr"/>
            <w:hideMark/>
          </w:tcPr>
          <w:p w:rsidR="001B70B4" w:rsidRPr="003C5252" w:rsidRDefault="001B70B4" w:rsidP="001237B1">
            <w:pPr>
              <w:ind w:right="113"/>
              <w:rPr>
                <w:rFonts w:eastAsia="Times New Roman" w:cs="Calibri"/>
                <w:color w:val="FFFFFF"/>
              </w:rPr>
            </w:pPr>
            <w:r w:rsidRPr="003C5252">
              <w:rPr>
                <w:rFonts w:eastAsia="Times New Roman" w:cs="Calibri"/>
                <w:color w:val="FFFFFF"/>
              </w:rPr>
              <w:t> </w:t>
            </w:r>
          </w:p>
        </w:tc>
        <w:tc>
          <w:tcPr>
            <w:tcW w:w="3238" w:type="dxa"/>
            <w:gridSpan w:val="4"/>
            <w:tcBorders>
              <w:top w:val="threeDEngrave" w:sz="12" w:space="0" w:color="auto"/>
              <w:left w:val="threeDEngrave" w:sz="12" w:space="0" w:color="auto"/>
              <w:bottom w:val="threeDEngrave" w:sz="12" w:space="0" w:color="auto"/>
              <w:right w:val="threeDEngrave" w:sz="12" w:space="0" w:color="auto"/>
            </w:tcBorders>
            <w:vAlign w:val="center"/>
            <w:hideMark/>
          </w:tcPr>
          <w:p w:rsidR="001B70B4" w:rsidRPr="003C5252" w:rsidRDefault="001B70B4"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3"/>
                <w:szCs w:val="23"/>
              </w:rPr>
            </w:pPr>
            <w:r w:rsidRPr="003C5252">
              <w:rPr>
                <w:rFonts w:eastAsia="Times New Roman" w:cs="Calibri"/>
                <w:color w:val="FFFFFF"/>
                <w:sz w:val="23"/>
                <w:szCs w:val="23"/>
              </w:rPr>
              <w:t>30 Day Misuse</w:t>
            </w:r>
          </w:p>
        </w:tc>
        <w:tc>
          <w:tcPr>
            <w:tcW w:w="3083" w:type="dxa"/>
            <w:gridSpan w:val="4"/>
            <w:tcBorders>
              <w:top w:val="threeDEngrave" w:sz="12" w:space="0" w:color="auto"/>
              <w:left w:val="threeDEngrave" w:sz="12" w:space="0" w:color="auto"/>
              <w:bottom w:val="threeDEngrave" w:sz="12" w:space="0" w:color="auto"/>
              <w:right w:val="threeDEngrave" w:sz="12" w:space="0" w:color="auto"/>
            </w:tcBorders>
            <w:vAlign w:val="center"/>
          </w:tcPr>
          <w:p w:rsidR="001B70B4" w:rsidRPr="0051741D" w:rsidRDefault="001B70B4"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3"/>
                <w:szCs w:val="23"/>
              </w:rPr>
            </w:pPr>
            <w:r w:rsidRPr="0051741D">
              <w:rPr>
                <w:rFonts w:eastAsia="Times New Roman" w:cs="Calibri"/>
                <w:color w:val="auto"/>
                <w:sz w:val="23"/>
                <w:szCs w:val="23"/>
              </w:rPr>
              <w:t>Lifetime Misuse</w:t>
            </w:r>
          </w:p>
        </w:tc>
      </w:tr>
      <w:tr w:rsidR="001B70B4" w:rsidRPr="003C5252" w:rsidTr="001237B1">
        <w:trPr>
          <w:cnfStyle w:val="000000100000" w:firstRow="0" w:lastRow="0" w:firstColumn="0" w:lastColumn="0" w:oddVBand="0" w:evenVBand="0" w:oddHBand="1"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1259" w:type="dxa"/>
            <w:vMerge/>
            <w:tcBorders>
              <w:top w:val="threeDEngrave" w:sz="12" w:space="0" w:color="auto"/>
              <w:left w:val="threeDEngrave" w:sz="12" w:space="0" w:color="auto"/>
              <w:bottom w:val="threeDEngrave" w:sz="12" w:space="0" w:color="auto"/>
              <w:right w:val="threeDEngrave" w:sz="12" w:space="0" w:color="auto"/>
            </w:tcBorders>
            <w:shd w:val="clear" w:color="auto" w:fill="BFBFBF" w:themeFill="background1" w:themeFillShade="BF"/>
            <w:textDirection w:val="btLr"/>
            <w:hideMark/>
          </w:tcPr>
          <w:p w:rsidR="001B70B4" w:rsidRPr="003C5252" w:rsidRDefault="001B70B4" w:rsidP="001237B1">
            <w:pPr>
              <w:ind w:right="113"/>
              <w:rPr>
                <w:rFonts w:eastAsia="Times New Roman" w:cs="Calibri"/>
                <w:color w:val="000000"/>
              </w:rPr>
            </w:pPr>
          </w:p>
        </w:tc>
        <w:tc>
          <w:tcPr>
            <w:tcW w:w="815" w:type="dxa"/>
            <w:tcBorders>
              <w:top w:val="threeDEngrave" w:sz="12" w:space="0" w:color="auto"/>
              <w:left w:val="threeDEngrave" w:sz="12" w:space="0" w:color="auto"/>
              <w:bottom w:val="threeDEngrave" w:sz="12" w:space="0" w:color="auto"/>
              <w:right w:val="threeDEngrave" w:sz="12" w:space="0" w:color="auto"/>
            </w:tcBorders>
            <w:textDirection w:val="btLr"/>
            <w:vAlign w:val="center"/>
            <w:hideMark/>
          </w:tcPr>
          <w:p w:rsidR="001B70B4" w:rsidRPr="003C5252" w:rsidRDefault="001B70B4" w:rsidP="001237B1">
            <w:pPr>
              <w:ind w:right="113"/>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eastAsia="Times New Roman" w:cs="Calibri"/>
                <w:b/>
                <w:color w:val="000000"/>
              </w:rPr>
              <w:t>6</w:t>
            </w:r>
            <w:r w:rsidRPr="003C5252">
              <w:rPr>
                <w:rFonts w:eastAsia="Times New Roman" w:cs="Calibri"/>
                <w:b/>
                <w:color w:val="000000"/>
                <w:vertAlign w:val="superscript"/>
              </w:rPr>
              <w:t>th</w:t>
            </w:r>
            <w:r w:rsidRPr="003C5252">
              <w:rPr>
                <w:rFonts w:eastAsia="Times New Roman" w:cs="Calibri"/>
                <w:b/>
                <w:color w:val="000000"/>
              </w:rPr>
              <w:t xml:space="preserve"> Grate</w:t>
            </w:r>
          </w:p>
        </w:tc>
        <w:tc>
          <w:tcPr>
            <w:tcW w:w="767" w:type="dxa"/>
            <w:tcBorders>
              <w:top w:val="threeDEngrave" w:sz="12" w:space="0" w:color="auto"/>
              <w:left w:val="threeDEngrave" w:sz="12" w:space="0" w:color="auto"/>
              <w:bottom w:val="threeDEngrave" w:sz="12" w:space="0" w:color="auto"/>
              <w:right w:val="threeDEngrave" w:sz="12" w:space="0" w:color="auto"/>
            </w:tcBorders>
            <w:textDirection w:val="btLr"/>
            <w:vAlign w:val="center"/>
            <w:hideMark/>
          </w:tcPr>
          <w:p w:rsidR="001B70B4" w:rsidRPr="003C5252" w:rsidRDefault="001B70B4" w:rsidP="001237B1">
            <w:pPr>
              <w:ind w:right="113"/>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eastAsia="Times New Roman" w:cs="Calibri"/>
                <w:b/>
                <w:color w:val="000000"/>
              </w:rPr>
              <w:t>8</w:t>
            </w:r>
            <w:r w:rsidRPr="003C5252">
              <w:rPr>
                <w:rFonts w:eastAsia="Times New Roman" w:cs="Calibri"/>
                <w:b/>
                <w:color w:val="000000"/>
                <w:vertAlign w:val="superscript"/>
              </w:rPr>
              <w:t>th</w:t>
            </w:r>
            <w:r w:rsidRPr="003C5252">
              <w:rPr>
                <w:rFonts w:eastAsia="Times New Roman" w:cs="Calibri"/>
                <w:b/>
                <w:color w:val="000000"/>
              </w:rPr>
              <w:t xml:space="preserve"> Grade</w:t>
            </w:r>
          </w:p>
        </w:tc>
        <w:tc>
          <w:tcPr>
            <w:tcW w:w="828" w:type="dxa"/>
            <w:tcBorders>
              <w:top w:val="threeDEngrave" w:sz="12" w:space="0" w:color="auto"/>
              <w:left w:val="threeDEngrave" w:sz="12" w:space="0" w:color="auto"/>
              <w:bottom w:val="threeDEngrave" w:sz="12" w:space="0" w:color="auto"/>
              <w:right w:val="threeDEngrave" w:sz="12" w:space="0" w:color="auto"/>
            </w:tcBorders>
            <w:textDirection w:val="btLr"/>
            <w:vAlign w:val="center"/>
            <w:hideMark/>
          </w:tcPr>
          <w:p w:rsidR="001B70B4" w:rsidRPr="003C5252" w:rsidRDefault="001B70B4" w:rsidP="001237B1">
            <w:pPr>
              <w:ind w:right="113"/>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eastAsia="Times New Roman" w:cs="Calibri"/>
                <w:b/>
                <w:color w:val="000000"/>
              </w:rPr>
              <w:t>10</w:t>
            </w:r>
            <w:r w:rsidRPr="003C5252">
              <w:rPr>
                <w:rFonts w:eastAsia="Times New Roman" w:cs="Calibri"/>
                <w:b/>
                <w:color w:val="000000"/>
                <w:vertAlign w:val="superscript"/>
              </w:rPr>
              <w:t>th</w:t>
            </w:r>
            <w:r w:rsidRPr="003C5252">
              <w:rPr>
                <w:rFonts w:eastAsia="Times New Roman" w:cs="Calibri"/>
                <w:b/>
                <w:color w:val="000000"/>
              </w:rPr>
              <w:t xml:space="preserve"> Grade</w:t>
            </w:r>
          </w:p>
        </w:tc>
        <w:tc>
          <w:tcPr>
            <w:tcW w:w="828" w:type="dxa"/>
            <w:tcBorders>
              <w:top w:val="threeDEngrave" w:sz="12" w:space="0" w:color="auto"/>
              <w:left w:val="threeDEngrave" w:sz="12" w:space="0" w:color="auto"/>
              <w:bottom w:val="threeDEngrave" w:sz="12" w:space="0" w:color="auto"/>
              <w:right w:val="threeDEngrave" w:sz="12" w:space="0" w:color="auto"/>
            </w:tcBorders>
            <w:textDirection w:val="btLr"/>
            <w:vAlign w:val="center"/>
            <w:hideMark/>
          </w:tcPr>
          <w:p w:rsidR="001B70B4" w:rsidRPr="003C5252" w:rsidRDefault="001B70B4" w:rsidP="001237B1">
            <w:pPr>
              <w:ind w:right="113"/>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rPr>
            </w:pPr>
            <w:r w:rsidRPr="003C5252">
              <w:rPr>
                <w:rFonts w:eastAsia="Times New Roman" w:cs="Calibri"/>
                <w:b/>
                <w:color w:val="000000"/>
              </w:rPr>
              <w:t>12</w:t>
            </w:r>
            <w:r w:rsidRPr="003C5252">
              <w:rPr>
                <w:rFonts w:eastAsia="Times New Roman" w:cs="Calibri"/>
                <w:b/>
                <w:color w:val="000000"/>
                <w:vertAlign w:val="superscript"/>
              </w:rPr>
              <w:t>th</w:t>
            </w:r>
            <w:r w:rsidRPr="003C5252">
              <w:rPr>
                <w:rFonts w:eastAsia="Times New Roman" w:cs="Calibri"/>
                <w:b/>
                <w:color w:val="000000"/>
              </w:rPr>
              <w:t xml:space="preserve"> Grade</w:t>
            </w:r>
          </w:p>
        </w:tc>
        <w:tc>
          <w:tcPr>
            <w:tcW w:w="767" w:type="dxa"/>
            <w:tcBorders>
              <w:top w:val="threeDEngrave" w:sz="12" w:space="0" w:color="auto"/>
              <w:left w:val="threeDEngrave" w:sz="12" w:space="0" w:color="auto"/>
              <w:bottom w:val="threeDEngrave" w:sz="12" w:space="0" w:color="auto"/>
            </w:tcBorders>
            <w:textDirection w:val="btLr"/>
            <w:vAlign w:val="center"/>
          </w:tcPr>
          <w:p w:rsidR="001B70B4" w:rsidRPr="0051741D" w:rsidRDefault="001B70B4" w:rsidP="001237B1">
            <w:pPr>
              <w:ind w:right="113"/>
              <w:jc w:val="center"/>
              <w:cnfStyle w:val="000000100000" w:firstRow="0" w:lastRow="0" w:firstColumn="0" w:lastColumn="0" w:oddVBand="0" w:evenVBand="0" w:oddHBand="1" w:evenHBand="0" w:firstRowFirstColumn="0" w:firstRowLastColumn="0" w:lastRowFirstColumn="0" w:lastRowLastColumn="0"/>
              <w:rPr>
                <w:rFonts w:eastAsia="Times New Roman" w:cs="Calibri"/>
                <w:b/>
              </w:rPr>
            </w:pPr>
            <w:r w:rsidRPr="0051741D">
              <w:rPr>
                <w:rFonts w:eastAsia="Times New Roman" w:cs="Calibri"/>
                <w:b/>
              </w:rPr>
              <w:t>6</w:t>
            </w:r>
            <w:r w:rsidRPr="0051741D">
              <w:rPr>
                <w:rFonts w:eastAsia="Times New Roman" w:cs="Calibri"/>
                <w:b/>
                <w:vertAlign w:val="superscript"/>
              </w:rPr>
              <w:t>th</w:t>
            </w:r>
            <w:r w:rsidRPr="0051741D">
              <w:rPr>
                <w:rFonts w:eastAsia="Times New Roman" w:cs="Calibri"/>
                <w:b/>
              </w:rPr>
              <w:t xml:space="preserve"> Grade</w:t>
            </w:r>
          </w:p>
        </w:tc>
        <w:tc>
          <w:tcPr>
            <w:tcW w:w="772" w:type="dxa"/>
            <w:tcBorders>
              <w:top w:val="threeDEngrave" w:sz="12" w:space="0" w:color="auto"/>
              <w:left w:val="threeDEngrave" w:sz="12" w:space="0" w:color="auto"/>
              <w:bottom w:val="threeDEngrave" w:sz="12" w:space="0" w:color="auto"/>
            </w:tcBorders>
            <w:textDirection w:val="btLr"/>
            <w:vAlign w:val="center"/>
          </w:tcPr>
          <w:p w:rsidR="001B70B4" w:rsidRPr="0051741D" w:rsidRDefault="001B70B4" w:rsidP="001237B1">
            <w:pPr>
              <w:ind w:right="113"/>
              <w:jc w:val="center"/>
              <w:cnfStyle w:val="000000100000" w:firstRow="0" w:lastRow="0" w:firstColumn="0" w:lastColumn="0" w:oddVBand="0" w:evenVBand="0" w:oddHBand="1" w:evenHBand="0" w:firstRowFirstColumn="0" w:firstRowLastColumn="0" w:lastRowFirstColumn="0" w:lastRowLastColumn="0"/>
              <w:rPr>
                <w:rFonts w:eastAsia="Times New Roman" w:cs="Calibri"/>
                <w:b/>
              </w:rPr>
            </w:pPr>
            <w:r w:rsidRPr="0051741D">
              <w:rPr>
                <w:rFonts w:eastAsia="Times New Roman" w:cs="Calibri"/>
                <w:b/>
              </w:rPr>
              <w:t>8</w:t>
            </w:r>
            <w:r w:rsidRPr="0051741D">
              <w:rPr>
                <w:rFonts w:eastAsia="Times New Roman" w:cs="Calibri"/>
                <w:b/>
                <w:vertAlign w:val="superscript"/>
              </w:rPr>
              <w:t>th</w:t>
            </w:r>
            <w:r w:rsidRPr="0051741D">
              <w:rPr>
                <w:rFonts w:eastAsia="Times New Roman" w:cs="Calibri"/>
                <w:b/>
              </w:rPr>
              <w:t xml:space="preserve"> Grade</w:t>
            </w:r>
          </w:p>
        </w:tc>
        <w:tc>
          <w:tcPr>
            <w:tcW w:w="772" w:type="dxa"/>
            <w:tcBorders>
              <w:top w:val="threeDEngrave" w:sz="12" w:space="0" w:color="auto"/>
              <w:left w:val="threeDEngrave" w:sz="12" w:space="0" w:color="auto"/>
              <w:bottom w:val="threeDEngrave" w:sz="12" w:space="0" w:color="auto"/>
            </w:tcBorders>
            <w:textDirection w:val="btLr"/>
            <w:vAlign w:val="center"/>
          </w:tcPr>
          <w:p w:rsidR="001B70B4" w:rsidRPr="0051741D" w:rsidRDefault="001B70B4" w:rsidP="001237B1">
            <w:pPr>
              <w:ind w:right="113"/>
              <w:jc w:val="center"/>
              <w:cnfStyle w:val="000000100000" w:firstRow="0" w:lastRow="0" w:firstColumn="0" w:lastColumn="0" w:oddVBand="0" w:evenVBand="0" w:oddHBand="1" w:evenHBand="0" w:firstRowFirstColumn="0" w:firstRowLastColumn="0" w:lastRowFirstColumn="0" w:lastRowLastColumn="0"/>
              <w:rPr>
                <w:rFonts w:eastAsia="Times New Roman" w:cs="Calibri"/>
                <w:b/>
              </w:rPr>
            </w:pPr>
            <w:r w:rsidRPr="0051741D">
              <w:rPr>
                <w:rFonts w:eastAsia="Times New Roman" w:cs="Calibri"/>
                <w:b/>
              </w:rPr>
              <w:t>10</w:t>
            </w:r>
            <w:r w:rsidRPr="0051741D">
              <w:rPr>
                <w:rFonts w:eastAsia="Times New Roman" w:cs="Calibri"/>
                <w:b/>
                <w:vertAlign w:val="superscript"/>
              </w:rPr>
              <w:t>th</w:t>
            </w:r>
            <w:r w:rsidRPr="0051741D">
              <w:rPr>
                <w:rFonts w:eastAsia="Times New Roman" w:cs="Calibri"/>
                <w:b/>
              </w:rPr>
              <w:t xml:space="preserve"> Grade</w:t>
            </w:r>
          </w:p>
        </w:tc>
        <w:tc>
          <w:tcPr>
            <w:tcW w:w="772" w:type="dxa"/>
            <w:tcBorders>
              <w:top w:val="threeDEngrave" w:sz="12" w:space="0" w:color="auto"/>
              <w:left w:val="threeDEngrave" w:sz="12" w:space="0" w:color="auto"/>
              <w:bottom w:val="threeDEngrave" w:sz="12" w:space="0" w:color="auto"/>
              <w:right w:val="threeDEngrave" w:sz="12" w:space="0" w:color="auto"/>
            </w:tcBorders>
            <w:textDirection w:val="btLr"/>
            <w:vAlign w:val="center"/>
          </w:tcPr>
          <w:p w:rsidR="001B70B4" w:rsidRPr="0051741D" w:rsidRDefault="001B70B4" w:rsidP="001237B1">
            <w:pPr>
              <w:ind w:right="113"/>
              <w:jc w:val="center"/>
              <w:cnfStyle w:val="000000100000" w:firstRow="0" w:lastRow="0" w:firstColumn="0" w:lastColumn="0" w:oddVBand="0" w:evenVBand="0" w:oddHBand="1" w:evenHBand="0" w:firstRowFirstColumn="0" w:firstRowLastColumn="0" w:lastRowFirstColumn="0" w:lastRowLastColumn="0"/>
              <w:rPr>
                <w:rFonts w:eastAsia="Times New Roman" w:cs="Calibri"/>
                <w:b/>
              </w:rPr>
            </w:pPr>
            <w:r w:rsidRPr="0051741D">
              <w:rPr>
                <w:rFonts w:eastAsia="Times New Roman" w:cs="Calibri"/>
                <w:b/>
              </w:rPr>
              <w:t>12</w:t>
            </w:r>
            <w:r w:rsidRPr="0051741D">
              <w:rPr>
                <w:rFonts w:eastAsia="Times New Roman" w:cs="Calibri"/>
                <w:b/>
                <w:vertAlign w:val="superscript"/>
              </w:rPr>
              <w:t>th</w:t>
            </w:r>
            <w:r w:rsidRPr="0051741D">
              <w:rPr>
                <w:rFonts w:eastAsia="Times New Roman" w:cs="Calibri"/>
                <w:b/>
              </w:rPr>
              <w:t xml:space="preserve"> Grade</w:t>
            </w:r>
          </w:p>
        </w:tc>
      </w:tr>
      <w:tr w:rsidR="001B70B4" w:rsidRPr="003C5252" w:rsidTr="00542FB6">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9" w:type="dxa"/>
            <w:tcBorders>
              <w:top w:val="threeDEngrave" w:sz="12" w:space="0" w:color="auto"/>
              <w:left w:val="threeDEngrave" w:sz="12" w:space="0" w:color="auto"/>
              <w:right w:val="threeDEngrave" w:sz="12" w:space="0" w:color="auto"/>
            </w:tcBorders>
            <w:shd w:val="clear" w:color="auto" w:fill="FFFF00"/>
            <w:vAlign w:val="center"/>
            <w:hideMark/>
          </w:tcPr>
          <w:p w:rsidR="001B70B4" w:rsidRPr="003C5252" w:rsidRDefault="001B70B4" w:rsidP="001237B1">
            <w:pPr>
              <w:rPr>
                <w:rFonts w:eastAsia="Times New Roman" w:cs="Calibri"/>
                <w:color w:val="000000"/>
              </w:rPr>
            </w:pPr>
            <w:r w:rsidRPr="003C5252">
              <w:rPr>
                <w:rFonts w:eastAsia="Times New Roman" w:cs="Calibri"/>
                <w:color w:val="000000"/>
              </w:rPr>
              <w:t>OK</w:t>
            </w:r>
          </w:p>
        </w:tc>
        <w:tc>
          <w:tcPr>
            <w:tcW w:w="815" w:type="dxa"/>
            <w:tcBorders>
              <w:top w:val="threeDEngrave" w:sz="12" w:space="0" w:color="auto"/>
              <w:left w:val="threeDEngrave" w:sz="12" w:space="0" w:color="auto"/>
            </w:tcBorders>
            <w:shd w:val="clear" w:color="auto" w:fill="FFFF00"/>
            <w:vAlign w:val="center"/>
            <w:hideMark/>
          </w:tcPr>
          <w:p w:rsidR="001B70B4" w:rsidRPr="003C5252" w:rsidRDefault="00DE7B6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Pr>
                <w:rFonts w:eastAsia="Times New Roman" w:cs="Calibri"/>
                <w:color w:val="000000"/>
              </w:rPr>
              <w:t>2.5</w:t>
            </w:r>
          </w:p>
        </w:tc>
        <w:tc>
          <w:tcPr>
            <w:tcW w:w="767" w:type="dxa"/>
            <w:tcBorders>
              <w:top w:val="threeDEngrave" w:sz="12" w:space="0" w:color="auto"/>
            </w:tcBorders>
            <w:shd w:val="clear" w:color="auto" w:fill="FFFF00"/>
            <w:vAlign w:val="center"/>
            <w:hideMark/>
          </w:tcPr>
          <w:p w:rsidR="001B70B4" w:rsidRPr="003C5252" w:rsidRDefault="00DE7B6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Pr>
                <w:rFonts w:eastAsia="Times New Roman" w:cs="Calibri"/>
                <w:color w:val="000000"/>
              </w:rPr>
              <w:t>4.9</w:t>
            </w:r>
          </w:p>
        </w:tc>
        <w:tc>
          <w:tcPr>
            <w:tcW w:w="828" w:type="dxa"/>
            <w:tcBorders>
              <w:top w:val="threeDEngrave" w:sz="12" w:space="0" w:color="auto"/>
            </w:tcBorders>
            <w:shd w:val="clear" w:color="auto" w:fill="FFFF00"/>
            <w:vAlign w:val="center"/>
            <w:hideMark/>
          </w:tcPr>
          <w:p w:rsidR="001B70B4" w:rsidRPr="003C5252" w:rsidRDefault="00DE7B6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Pr>
                <w:rFonts w:eastAsia="Times New Roman" w:cs="Calibri"/>
                <w:color w:val="000000"/>
              </w:rPr>
              <w:t>6.5</w:t>
            </w:r>
          </w:p>
        </w:tc>
        <w:tc>
          <w:tcPr>
            <w:tcW w:w="828" w:type="dxa"/>
            <w:tcBorders>
              <w:top w:val="threeDEngrave" w:sz="12" w:space="0" w:color="auto"/>
              <w:right w:val="threeDEngrave" w:sz="12" w:space="0" w:color="auto"/>
            </w:tcBorders>
            <w:shd w:val="clear" w:color="auto" w:fill="FFFF00"/>
            <w:vAlign w:val="center"/>
            <w:hideMark/>
          </w:tcPr>
          <w:p w:rsidR="001B70B4" w:rsidRPr="003C5252" w:rsidRDefault="00DE7B6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Pr>
                <w:rFonts w:eastAsia="Times New Roman" w:cs="Calibri"/>
                <w:color w:val="000000"/>
              </w:rPr>
              <w:t>7.3</w:t>
            </w:r>
          </w:p>
        </w:tc>
        <w:tc>
          <w:tcPr>
            <w:tcW w:w="767" w:type="dxa"/>
            <w:tcBorders>
              <w:top w:val="threeDEngrave" w:sz="12" w:space="0" w:color="auto"/>
              <w:left w:val="threeDEngrave" w:sz="12" w:space="0" w:color="auto"/>
            </w:tcBorders>
            <w:shd w:val="clear" w:color="auto" w:fill="FFFF00"/>
            <w:vAlign w:val="center"/>
          </w:tcPr>
          <w:p w:rsidR="001B70B4" w:rsidRPr="0051741D" w:rsidRDefault="00542FB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rPr>
            </w:pPr>
            <w:r>
              <w:rPr>
                <w:rFonts w:eastAsia="Times New Roman" w:cs="Calibri"/>
              </w:rPr>
              <w:t>5.4</w:t>
            </w:r>
          </w:p>
        </w:tc>
        <w:tc>
          <w:tcPr>
            <w:tcW w:w="772" w:type="dxa"/>
            <w:tcBorders>
              <w:top w:val="threeDEngrave" w:sz="12" w:space="0" w:color="auto"/>
            </w:tcBorders>
            <w:shd w:val="clear" w:color="auto" w:fill="FFFF00"/>
            <w:vAlign w:val="center"/>
          </w:tcPr>
          <w:p w:rsidR="001B70B4" w:rsidRPr="0051741D" w:rsidRDefault="00542FB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rPr>
            </w:pPr>
            <w:r>
              <w:rPr>
                <w:rFonts w:eastAsia="Times New Roman" w:cs="Calibri"/>
              </w:rPr>
              <w:t>9.4</w:t>
            </w:r>
          </w:p>
        </w:tc>
        <w:tc>
          <w:tcPr>
            <w:tcW w:w="772" w:type="dxa"/>
            <w:tcBorders>
              <w:top w:val="threeDEngrave" w:sz="12" w:space="0" w:color="auto"/>
            </w:tcBorders>
            <w:shd w:val="clear" w:color="auto" w:fill="FFFF00"/>
            <w:vAlign w:val="center"/>
          </w:tcPr>
          <w:p w:rsidR="001B70B4" w:rsidRPr="0051741D" w:rsidRDefault="00542FB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rPr>
            </w:pPr>
            <w:r>
              <w:rPr>
                <w:rFonts w:eastAsia="Times New Roman" w:cs="Calibri"/>
              </w:rPr>
              <w:t>14.0</w:t>
            </w:r>
          </w:p>
        </w:tc>
        <w:tc>
          <w:tcPr>
            <w:tcW w:w="772" w:type="dxa"/>
            <w:tcBorders>
              <w:top w:val="threeDEngrave" w:sz="12" w:space="0" w:color="auto"/>
              <w:right w:val="threeDEngrave" w:sz="12" w:space="0" w:color="auto"/>
            </w:tcBorders>
            <w:shd w:val="clear" w:color="auto" w:fill="FFFF00"/>
            <w:vAlign w:val="center"/>
          </w:tcPr>
          <w:p w:rsidR="001B70B4" w:rsidRPr="0051741D" w:rsidRDefault="00542FB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rPr>
            </w:pPr>
            <w:r>
              <w:rPr>
                <w:rFonts w:eastAsia="Times New Roman" w:cs="Calibri"/>
              </w:rPr>
              <w:t>17.7</w:t>
            </w:r>
          </w:p>
        </w:tc>
      </w:tr>
      <w:tr w:rsidR="001B70B4" w:rsidRPr="003C5252" w:rsidTr="00542FB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9" w:type="dxa"/>
            <w:tcBorders>
              <w:left w:val="threeDEngrave" w:sz="12" w:space="0" w:color="auto"/>
              <w:right w:val="threeDEngrave" w:sz="12" w:space="0" w:color="auto"/>
            </w:tcBorders>
            <w:shd w:val="clear" w:color="auto" w:fill="FFFF00"/>
            <w:vAlign w:val="center"/>
            <w:hideMark/>
          </w:tcPr>
          <w:p w:rsidR="001B70B4" w:rsidRPr="003C5252" w:rsidRDefault="001B70B4" w:rsidP="001237B1">
            <w:pPr>
              <w:rPr>
                <w:rFonts w:eastAsia="Times New Roman" w:cs="Calibri"/>
              </w:rPr>
            </w:pPr>
            <w:r w:rsidRPr="003C5252">
              <w:rPr>
                <w:rFonts w:eastAsia="Times New Roman" w:cs="Calibri"/>
              </w:rPr>
              <w:t>Bryan*</w:t>
            </w:r>
          </w:p>
        </w:tc>
        <w:tc>
          <w:tcPr>
            <w:tcW w:w="815" w:type="dxa"/>
            <w:tcBorders>
              <w:left w:val="threeDEngrave" w:sz="12" w:space="0" w:color="auto"/>
            </w:tcBorders>
            <w:shd w:val="clear" w:color="auto" w:fill="FFFF00"/>
            <w:vAlign w:val="center"/>
            <w:hideMark/>
          </w:tcPr>
          <w:p w:rsidR="001B70B4" w:rsidRPr="003C5252" w:rsidRDefault="00DE7B66"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3.9</w:t>
            </w:r>
          </w:p>
        </w:tc>
        <w:tc>
          <w:tcPr>
            <w:tcW w:w="767" w:type="dxa"/>
            <w:shd w:val="clear" w:color="auto" w:fill="FFFF00"/>
            <w:vAlign w:val="center"/>
            <w:hideMark/>
          </w:tcPr>
          <w:p w:rsidR="001B70B4" w:rsidRPr="003C5252" w:rsidRDefault="00DE7B66"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4.0</w:t>
            </w:r>
          </w:p>
        </w:tc>
        <w:tc>
          <w:tcPr>
            <w:tcW w:w="828" w:type="dxa"/>
            <w:shd w:val="clear" w:color="auto" w:fill="FFFF00"/>
            <w:vAlign w:val="center"/>
            <w:hideMark/>
          </w:tcPr>
          <w:p w:rsidR="001B70B4" w:rsidRPr="003C5252" w:rsidRDefault="00DE7B66"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10.9</w:t>
            </w:r>
          </w:p>
        </w:tc>
        <w:tc>
          <w:tcPr>
            <w:tcW w:w="828" w:type="dxa"/>
            <w:tcBorders>
              <w:right w:val="threeDEngrave" w:sz="12" w:space="0" w:color="auto"/>
            </w:tcBorders>
            <w:shd w:val="clear" w:color="auto" w:fill="FFFF00"/>
            <w:vAlign w:val="center"/>
            <w:hideMark/>
          </w:tcPr>
          <w:p w:rsidR="001B70B4" w:rsidRPr="003C5252" w:rsidRDefault="00DE7B66"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8.7</w:t>
            </w:r>
          </w:p>
        </w:tc>
        <w:tc>
          <w:tcPr>
            <w:tcW w:w="767" w:type="dxa"/>
            <w:tcBorders>
              <w:left w:val="threeDEngrave" w:sz="12" w:space="0" w:color="auto"/>
            </w:tcBorders>
            <w:shd w:val="clear" w:color="auto" w:fill="FFFF00"/>
            <w:vAlign w:val="center"/>
          </w:tcPr>
          <w:p w:rsidR="001B70B4" w:rsidRPr="0051741D" w:rsidRDefault="00542FB6"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Pr>
                <w:rFonts w:eastAsia="Times New Roman" w:cs="Calibri"/>
              </w:rPr>
              <w:t>6.4</w:t>
            </w:r>
          </w:p>
        </w:tc>
        <w:tc>
          <w:tcPr>
            <w:tcW w:w="772" w:type="dxa"/>
            <w:shd w:val="clear" w:color="auto" w:fill="FFFF00"/>
            <w:vAlign w:val="center"/>
          </w:tcPr>
          <w:p w:rsidR="001B70B4" w:rsidRPr="0051741D" w:rsidRDefault="00542FB6"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Pr>
                <w:rFonts w:eastAsia="Times New Roman" w:cs="Calibri"/>
              </w:rPr>
              <w:t>7.4</w:t>
            </w:r>
          </w:p>
        </w:tc>
        <w:tc>
          <w:tcPr>
            <w:tcW w:w="772" w:type="dxa"/>
            <w:shd w:val="clear" w:color="auto" w:fill="FFFF00"/>
            <w:vAlign w:val="center"/>
          </w:tcPr>
          <w:p w:rsidR="001B70B4" w:rsidRPr="0051741D" w:rsidRDefault="00542FB6"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Pr>
                <w:rFonts w:eastAsia="Times New Roman" w:cs="Calibri"/>
              </w:rPr>
              <w:t>18.2</w:t>
            </w:r>
          </w:p>
        </w:tc>
        <w:tc>
          <w:tcPr>
            <w:tcW w:w="772" w:type="dxa"/>
            <w:tcBorders>
              <w:right w:val="threeDEngrave" w:sz="12" w:space="0" w:color="auto"/>
            </w:tcBorders>
            <w:shd w:val="clear" w:color="auto" w:fill="FFFF00"/>
            <w:vAlign w:val="center"/>
          </w:tcPr>
          <w:p w:rsidR="001B70B4" w:rsidRPr="0051741D" w:rsidRDefault="00542FB6"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Pr>
                <w:rFonts w:eastAsia="Times New Roman" w:cs="Calibri"/>
              </w:rPr>
              <w:t>12.6</w:t>
            </w:r>
          </w:p>
        </w:tc>
      </w:tr>
      <w:tr w:rsidR="001B70B4" w:rsidRPr="003C5252" w:rsidTr="00542FB6">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9" w:type="dxa"/>
            <w:tcBorders>
              <w:left w:val="threeDEngrave" w:sz="12" w:space="0" w:color="auto"/>
              <w:right w:val="threeDEngrave" w:sz="12" w:space="0" w:color="auto"/>
            </w:tcBorders>
            <w:shd w:val="clear" w:color="auto" w:fill="FFFF00"/>
            <w:vAlign w:val="center"/>
            <w:hideMark/>
          </w:tcPr>
          <w:p w:rsidR="001B70B4" w:rsidRPr="003C5252" w:rsidRDefault="001B70B4" w:rsidP="001237B1">
            <w:pPr>
              <w:rPr>
                <w:rFonts w:eastAsia="Times New Roman" w:cs="Calibri"/>
              </w:rPr>
            </w:pPr>
            <w:r w:rsidRPr="003C5252">
              <w:rPr>
                <w:rFonts w:eastAsia="Times New Roman" w:cs="Calibri"/>
              </w:rPr>
              <w:t>Carter</w:t>
            </w:r>
          </w:p>
        </w:tc>
        <w:tc>
          <w:tcPr>
            <w:tcW w:w="815" w:type="dxa"/>
            <w:tcBorders>
              <w:left w:val="threeDEngrave" w:sz="12" w:space="0" w:color="auto"/>
            </w:tcBorders>
            <w:shd w:val="clear" w:color="auto" w:fill="FFFF00"/>
            <w:vAlign w:val="center"/>
            <w:hideMark/>
          </w:tcPr>
          <w:p w:rsidR="001B70B4" w:rsidRPr="003C5252" w:rsidRDefault="00DE7B6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Pr>
                <w:rFonts w:eastAsia="Times New Roman" w:cs="Calibri"/>
                <w:color w:val="000000"/>
              </w:rPr>
              <w:t>3.7</w:t>
            </w:r>
          </w:p>
        </w:tc>
        <w:tc>
          <w:tcPr>
            <w:tcW w:w="767" w:type="dxa"/>
            <w:shd w:val="clear" w:color="auto" w:fill="FFFF00"/>
            <w:vAlign w:val="center"/>
            <w:hideMark/>
          </w:tcPr>
          <w:p w:rsidR="001B70B4" w:rsidRPr="003C5252" w:rsidRDefault="00DE7B6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Pr>
                <w:rFonts w:eastAsia="Times New Roman" w:cs="Calibri"/>
                <w:color w:val="000000"/>
              </w:rPr>
              <w:t>6.5</w:t>
            </w:r>
          </w:p>
        </w:tc>
        <w:tc>
          <w:tcPr>
            <w:tcW w:w="828" w:type="dxa"/>
            <w:shd w:val="clear" w:color="auto" w:fill="FFFF00"/>
            <w:vAlign w:val="center"/>
            <w:hideMark/>
          </w:tcPr>
          <w:p w:rsidR="001B70B4" w:rsidRPr="003C5252" w:rsidRDefault="00DE7B6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Pr>
                <w:rFonts w:eastAsia="Times New Roman" w:cs="Calibri"/>
                <w:color w:val="000000"/>
              </w:rPr>
              <w:t>6.8</w:t>
            </w:r>
          </w:p>
        </w:tc>
        <w:tc>
          <w:tcPr>
            <w:tcW w:w="828" w:type="dxa"/>
            <w:tcBorders>
              <w:right w:val="threeDEngrave" w:sz="12" w:space="0" w:color="auto"/>
            </w:tcBorders>
            <w:shd w:val="clear" w:color="auto" w:fill="FFFF00"/>
            <w:vAlign w:val="center"/>
            <w:hideMark/>
          </w:tcPr>
          <w:p w:rsidR="001B70B4" w:rsidRPr="003C5252" w:rsidRDefault="00DE7B6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Pr>
                <w:rFonts w:eastAsia="Times New Roman" w:cs="Calibri"/>
                <w:color w:val="000000"/>
              </w:rPr>
              <w:t>10.8</w:t>
            </w:r>
          </w:p>
        </w:tc>
        <w:tc>
          <w:tcPr>
            <w:tcW w:w="767" w:type="dxa"/>
            <w:tcBorders>
              <w:left w:val="threeDEngrave" w:sz="12" w:space="0" w:color="auto"/>
            </w:tcBorders>
            <w:shd w:val="clear" w:color="auto" w:fill="FFFF00"/>
            <w:vAlign w:val="center"/>
          </w:tcPr>
          <w:p w:rsidR="001B70B4" w:rsidRPr="0051741D" w:rsidRDefault="00542FB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rPr>
            </w:pPr>
            <w:r>
              <w:rPr>
                <w:rFonts w:eastAsia="Times New Roman" w:cs="Calibri"/>
              </w:rPr>
              <w:t>6.4</w:t>
            </w:r>
          </w:p>
        </w:tc>
        <w:tc>
          <w:tcPr>
            <w:tcW w:w="772" w:type="dxa"/>
            <w:shd w:val="clear" w:color="auto" w:fill="FFFF00"/>
            <w:vAlign w:val="center"/>
          </w:tcPr>
          <w:p w:rsidR="001B70B4" w:rsidRPr="0051741D" w:rsidRDefault="00542FB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rPr>
            </w:pPr>
            <w:r>
              <w:rPr>
                <w:rFonts w:eastAsia="Times New Roman" w:cs="Calibri"/>
              </w:rPr>
              <w:t>10.8</w:t>
            </w:r>
          </w:p>
        </w:tc>
        <w:tc>
          <w:tcPr>
            <w:tcW w:w="772" w:type="dxa"/>
            <w:shd w:val="clear" w:color="auto" w:fill="FFFF00"/>
            <w:vAlign w:val="center"/>
          </w:tcPr>
          <w:p w:rsidR="001B70B4" w:rsidRPr="0051741D" w:rsidRDefault="00542FB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rPr>
            </w:pPr>
            <w:r>
              <w:rPr>
                <w:rFonts w:eastAsia="Times New Roman" w:cs="Calibri"/>
              </w:rPr>
              <w:t>14.9</w:t>
            </w:r>
          </w:p>
        </w:tc>
        <w:tc>
          <w:tcPr>
            <w:tcW w:w="772" w:type="dxa"/>
            <w:tcBorders>
              <w:right w:val="threeDEngrave" w:sz="12" w:space="0" w:color="auto"/>
            </w:tcBorders>
            <w:shd w:val="clear" w:color="auto" w:fill="FFFF00"/>
            <w:vAlign w:val="center"/>
          </w:tcPr>
          <w:p w:rsidR="001B70B4" w:rsidRPr="0051741D" w:rsidRDefault="00542FB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rPr>
            </w:pPr>
            <w:r>
              <w:rPr>
                <w:rFonts w:eastAsia="Times New Roman" w:cs="Calibri"/>
              </w:rPr>
              <w:t>18.0</w:t>
            </w:r>
          </w:p>
        </w:tc>
      </w:tr>
      <w:tr w:rsidR="001B70B4" w:rsidRPr="003C5252" w:rsidTr="00123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9" w:type="dxa"/>
            <w:tcBorders>
              <w:left w:val="threeDEngrave" w:sz="12" w:space="0" w:color="auto"/>
              <w:right w:val="threeDEngrave" w:sz="12" w:space="0" w:color="auto"/>
            </w:tcBorders>
            <w:vAlign w:val="center"/>
          </w:tcPr>
          <w:p w:rsidR="001B70B4" w:rsidRPr="003C5252" w:rsidRDefault="001B70B4" w:rsidP="001237B1">
            <w:pPr>
              <w:rPr>
                <w:rFonts w:eastAsia="Times New Roman" w:cs="Calibri"/>
              </w:rPr>
            </w:pPr>
            <w:r w:rsidRPr="003C5252">
              <w:rPr>
                <w:rFonts w:eastAsia="Times New Roman" w:cs="Calibri"/>
              </w:rPr>
              <w:t>Garvin</w:t>
            </w:r>
          </w:p>
        </w:tc>
        <w:tc>
          <w:tcPr>
            <w:tcW w:w="815" w:type="dxa"/>
            <w:tcBorders>
              <w:left w:val="threeDEngrave" w:sz="12" w:space="0" w:color="auto"/>
            </w:tcBorders>
            <w:vAlign w:val="center"/>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C5252">
              <w:rPr>
                <w:rFonts w:eastAsia="Times New Roman" w:cs="Calibri"/>
                <w:color w:val="000000"/>
              </w:rPr>
              <w:t>2.9</w:t>
            </w:r>
          </w:p>
        </w:tc>
        <w:tc>
          <w:tcPr>
            <w:tcW w:w="767" w:type="dxa"/>
            <w:vAlign w:val="center"/>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C5252">
              <w:rPr>
                <w:rFonts w:eastAsia="Times New Roman" w:cs="Calibri"/>
                <w:color w:val="000000"/>
              </w:rPr>
              <w:t>6.8</w:t>
            </w:r>
          </w:p>
        </w:tc>
        <w:tc>
          <w:tcPr>
            <w:tcW w:w="828" w:type="dxa"/>
            <w:vAlign w:val="center"/>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C5252">
              <w:rPr>
                <w:rFonts w:eastAsia="Times New Roman" w:cs="Calibri"/>
                <w:color w:val="000000"/>
              </w:rPr>
              <w:t>10.8</w:t>
            </w:r>
          </w:p>
        </w:tc>
        <w:tc>
          <w:tcPr>
            <w:tcW w:w="828" w:type="dxa"/>
            <w:tcBorders>
              <w:right w:val="threeDEngrave" w:sz="12" w:space="0" w:color="auto"/>
            </w:tcBorders>
            <w:vAlign w:val="center"/>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C5252">
              <w:rPr>
                <w:rFonts w:eastAsia="Times New Roman" w:cs="Calibri"/>
                <w:color w:val="000000"/>
              </w:rPr>
              <w:t>6.7</w:t>
            </w:r>
          </w:p>
        </w:tc>
        <w:tc>
          <w:tcPr>
            <w:tcW w:w="767" w:type="dxa"/>
            <w:tcBorders>
              <w:left w:val="threeDEngrave" w:sz="12" w:space="0" w:color="auto"/>
            </w:tcBorders>
            <w:vAlign w:val="center"/>
          </w:tcPr>
          <w:p w:rsidR="001B70B4" w:rsidRPr="0051741D"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1741D">
              <w:rPr>
                <w:rFonts w:eastAsia="Times New Roman" w:cs="Calibri"/>
              </w:rPr>
              <w:t>5.9</w:t>
            </w:r>
          </w:p>
        </w:tc>
        <w:tc>
          <w:tcPr>
            <w:tcW w:w="772" w:type="dxa"/>
            <w:vAlign w:val="center"/>
          </w:tcPr>
          <w:p w:rsidR="001B70B4" w:rsidRPr="0051741D"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1741D">
              <w:rPr>
                <w:rFonts w:eastAsia="Times New Roman" w:cs="Calibri"/>
              </w:rPr>
              <w:t>8.1</w:t>
            </w:r>
          </w:p>
        </w:tc>
        <w:tc>
          <w:tcPr>
            <w:tcW w:w="772" w:type="dxa"/>
            <w:vAlign w:val="center"/>
          </w:tcPr>
          <w:p w:rsidR="001B70B4" w:rsidRPr="0051741D"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1741D">
              <w:rPr>
                <w:rFonts w:eastAsia="Times New Roman" w:cs="Calibri"/>
              </w:rPr>
              <w:t>20.3</w:t>
            </w:r>
          </w:p>
        </w:tc>
        <w:tc>
          <w:tcPr>
            <w:tcW w:w="772" w:type="dxa"/>
            <w:tcBorders>
              <w:right w:val="threeDEngrave" w:sz="12" w:space="0" w:color="auto"/>
            </w:tcBorders>
            <w:vAlign w:val="center"/>
          </w:tcPr>
          <w:p w:rsidR="001B70B4" w:rsidRPr="0051741D"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1741D">
              <w:rPr>
                <w:rFonts w:eastAsia="Times New Roman" w:cs="Calibri"/>
              </w:rPr>
              <w:t>13.3</w:t>
            </w:r>
          </w:p>
        </w:tc>
      </w:tr>
      <w:tr w:rsidR="001B70B4" w:rsidRPr="003C5252" w:rsidTr="001237B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9" w:type="dxa"/>
            <w:tcBorders>
              <w:left w:val="threeDEngrave" w:sz="12" w:space="0" w:color="auto"/>
              <w:right w:val="threeDEngrave" w:sz="12" w:space="0" w:color="auto"/>
            </w:tcBorders>
            <w:vAlign w:val="center"/>
          </w:tcPr>
          <w:p w:rsidR="001B70B4" w:rsidRPr="003C5252" w:rsidRDefault="001B70B4" w:rsidP="001237B1">
            <w:pPr>
              <w:rPr>
                <w:rFonts w:eastAsia="Times New Roman" w:cs="Calibri"/>
              </w:rPr>
            </w:pPr>
            <w:r w:rsidRPr="003C5252">
              <w:rPr>
                <w:rFonts w:eastAsia="Times New Roman" w:cs="Calibri"/>
              </w:rPr>
              <w:t>Johnston*</w:t>
            </w:r>
          </w:p>
        </w:tc>
        <w:tc>
          <w:tcPr>
            <w:tcW w:w="815" w:type="dxa"/>
            <w:tcBorders>
              <w:left w:val="threeDEngrave" w:sz="12" w:space="0" w:color="auto"/>
            </w:tcBorders>
            <w:vAlign w:val="center"/>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sidRPr="003C5252">
              <w:rPr>
                <w:rFonts w:eastAsia="Times New Roman" w:cs="Calibri"/>
                <w:color w:val="000000"/>
              </w:rPr>
              <w:t>NA</w:t>
            </w:r>
          </w:p>
        </w:tc>
        <w:tc>
          <w:tcPr>
            <w:tcW w:w="767" w:type="dxa"/>
            <w:vAlign w:val="center"/>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sidRPr="003C5252">
              <w:rPr>
                <w:rFonts w:eastAsia="Times New Roman" w:cs="Calibri"/>
                <w:color w:val="000000"/>
              </w:rPr>
              <w:t>NA</w:t>
            </w:r>
          </w:p>
        </w:tc>
        <w:tc>
          <w:tcPr>
            <w:tcW w:w="828" w:type="dxa"/>
            <w:vAlign w:val="center"/>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sidRPr="003C5252">
              <w:rPr>
                <w:rFonts w:eastAsia="Times New Roman" w:cs="Calibri"/>
                <w:color w:val="000000"/>
              </w:rPr>
              <w:t>6.06</w:t>
            </w:r>
          </w:p>
        </w:tc>
        <w:tc>
          <w:tcPr>
            <w:tcW w:w="828" w:type="dxa"/>
            <w:tcBorders>
              <w:right w:val="threeDEngrave" w:sz="12" w:space="0" w:color="auto"/>
            </w:tcBorders>
            <w:vAlign w:val="center"/>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sidRPr="003C5252">
              <w:rPr>
                <w:rFonts w:eastAsia="Times New Roman" w:cs="Calibri"/>
                <w:color w:val="000000"/>
              </w:rPr>
              <w:t>10.53</w:t>
            </w:r>
          </w:p>
        </w:tc>
        <w:tc>
          <w:tcPr>
            <w:tcW w:w="767" w:type="dxa"/>
            <w:tcBorders>
              <w:left w:val="threeDEngrave" w:sz="12" w:space="0" w:color="auto"/>
            </w:tcBorders>
            <w:vAlign w:val="center"/>
          </w:tcPr>
          <w:p w:rsidR="001B70B4" w:rsidRPr="0051741D"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rPr>
            </w:pPr>
            <w:r w:rsidRPr="0051741D">
              <w:rPr>
                <w:rFonts w:eastAsia="Times New Roman" w:cs="Calibri"/>
              </w:rPr>
              <w:t>NA</w:t>
            </w:r>
          </w:p>
        </w:tc>
        <w:tc>
          <w:tcPr>
            <w:tcW w:w="772" w:type="dxa"/>
            <w:vAlign w:val="center"/>
          </w:tcPr>
          <w:p w:rsidR="001B70B4" w:rsidRPr="0051741D"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rPr>
            </w:pPr>
            <w:r w:rsidRPr="0051741D">
              <w:rPr>
                <w:rFonts w:eastAsia="Times New Roman" w:cs="Calibri"/>
              </w:rPr>
              <w:t>NA</w:t>
            </w:r>
          </w:p>
        </w:tc>
        <w:tc>
          <w:tcPr>
            <w:tcW w:w="772" w:type="dxa"/>
            <w:vAlign w:val="center"/>
          </w:tcPr>
          <w:p w:rsidR="001B70B4" w:rsidRPr="0051741D"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rPr>
            </w:pPr>
            <w:r w:rsidRPr="0051741D">
              <w:rPr>
                <w:rFonts w:eastAsia="Times New Roman" w:cs="Calibri"/>
              </w:rPr>
              <w:t>16.67</w:t>
            </w:r>
          </w:p>
        </w:tc>
        <w:tc>
          <w:tcPr>
            <w:tcW w:w="772" w:type="dxa"/>
            <w:tcBorders>
              <w:right w:val="threeDEngrave" w:sz="12" w:space="0" w:color="auto"/>
            </w:tcBorders>
            <w:vAlign w:val="center"/>
          </w:tcPr>
          <w:p w:rsidR="001B70B4" w:rsidRPr="0051741D"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rPr>
            </w:pPr>
            <w:r w:rsidRPr="0051741D">
              <w:rPr>
                <w:rFonts w:eastAsia="Times New Roman" w:cs="Calibri"/>
              </w:rPr>
              <w:t>13.16</w:t>
            </w:r>
          </w:p>
        </w:tc>
      </w:tr>
      <w:tr w:rsidR="001B70B4" w:rsidRPr="003C5252" w:rsidTr="00123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9" w:type="dxa"/>
            <w:tcBorders>
              <w:left w:val="threeDEngrave" w:sz="12" w:space="0" w:color="auto"/>
              <w:right w:val="threeDEngrave" w:sz="12" w:space="0" w:color="auto"/>
            </w:tcBorders>
            <w:vAlign w:val="center"/>
          </w:tcPr>
          <w:p w:rsidR="001B70B4" w:rsidRPr="003C5252" w:rsidRDefault="001B70B4" w:rsidP="001237B1">
            <w:pPr>
              <w:rPr>
                <w:rFonts w:eastAsia="Times New Roman" w:cs="Calibri"/>
              </w:rPr>
            </w:pPr>
            <w:r w:rsidRPr="003C5252">
              <w:rPr>
                <w:rFonts w:eastAsia="Times New Roman" w:cs="Calibri"/>
              </w:rPr>
              <w:t>Love*</w:t>
            </w:r>
          </w:p>
        </w:tc>
        <w:tc>
          <w:tcPr>
            <w:tcW w:w="815" w:type="dxa"/>
            <w:tcBorders>
              <w:left w:val="threeDEngrave" w:sz="12" w:space="0" w:color="auto"/>
            </w:tcBorders>
            <w:vAlign w:val="center"/>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C5252">
              <w:rPr>
                <w:rFonts w:eastAsia="Times New Roman" w:cs="Calibri"/>
                <w:color w:val="000000"/>
              </w:rPr>
              <w:t>6.34</w:t>
            </w:r>
          </w:p>
        </w:tc>
        <w:tc>
          <w:tcPr>
            <w:tcW w:w="767" w:type="dxa"/>
            <w:vAlign w:val="center"/>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C5252">
              <w:rPr>
                <w:rFonts w:eastAsia="Times New Roman" w:cs="Calibri"/>
                <w:color w:val="000000"/>
              </w:rPr>
              <w:t>2.70</w:t>
            </w:r>
          </w:p>
        </w:tc>
        <w:tc>
          <w:tcPr>
            <w:tcW w:w="828" w:type="dxa"/>
            <w:vAlign w:val="center"/>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C5252">
              <w:rPr>
                <w:rFonts w:eastAsia="Times New Roman" w:cs="Calibri"/>
                <w:color w:val="000000"/>
              </w:rPr>
              <w:t>6.67</w:t>
            </w:r>
          </w:p>
        </w:tc>
        <w:tc>
          <w:tcPr>
            <w:tcW w:w="828" w:type="dxa"/>
            <w:tcBorders>
              <w:right w:val="threeDEngrave" w:sz="12" w:space="0" w:color="auto"/>
            </w:tcBorders>
            <w:vAlign w:val="center"/>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C5252">
              <w:rPr>
                <w:rFonts w:eastAsia="Times New Roman" w:cs="Calibri"/>
                <w:color w:val="000000"/>
              </w:rPr>
              <w:t>8.70</w:t>
            </w:r>
          </w:p>
        </w:tc>
        <w:tc>
          <w:tcPr>
            <w:tcW w:w="767" w:type="dxa"/>
            <w:tcBorders>
              <w:left w:val="threeDEngrave" w:sz="12" w:space="0" w:color="auto"/>
            </w:tcBorders>
            <w:vAlign w:val="center"/>
          </w:tcPr>
          <w:p w:rsidR="001B70B4" w:rsidRPr="0051741D"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1741D">
              <w:rPr>
                <w:rFonts w:eastAsia="Times New Roman" w:cs="Calibri"/>
              </w:rPr>
              <w:t>7.81</w:t>
            </w:r>
          </w:p>
        </w:tc>
        <w:tc>
          <w:tcPr>
            <w:tcW w:w="772" w:type="dxa"/>
            <w:vAlign w:val="center"/>
          </w:tcPr>
          <w:p w:rsidR="001B70B4" w:rsidRPr="0051741D"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1741D">
              <w:rPr>
                <w:rFonts w:eastAsia="Times New Roman" w:cs="Calibri"/>
              </w:rPr>
              <w:t>7.21</w:t>
            </w:r>
          </w:p>
        </w:tc>
        <w:tc>
          <w:tcPr>
            <w:tcW w:w="772" w:type="dxa"/>
            <w:vAlign w:val="center"/>
          </w:tcPr>
          <w:p w:rsidR="001B70B4" w:rsidRPr="0051741D"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1741D">
              <w:rPr>
                <w:rFonts w:eastAsia="Times New Roman" w:cs="Calibri"/>
              </w:rPr>
              <w:t>11.11</w:t>
            </w:r>
          </w:p>
        </w:tc>
        <w:tc>
          <w:tcPr>
            <w:tcW w:w="772" w:type="dxa"/>
            <w:tcBorders>
              <w:right w:val="threeDEngrave" w:sz="12" w:space="0" w:color="auto"/>
            </w:tcBorders>
            <w:vAlign w:val="center"/>
          </w:tcPr>
          <w:p w:rsidR="001B70B4" w:rsidRPr="0051741D"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1741D">
              <w:rPr>
                <w:rFonts w:eastAsia="Times New Roman" w:cs="Calibri"/>
              </w:rPr>
              <w:t>26.09</w:t>
            </w:r>
          </w:p>
        </w:tc>
      </w:tr>
      <w:tr w:rsidR="001B70B4" w:rsidRPr="003C5252" w:rsidTr="001237B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9" w:type="dxa"/>
            <w:tcBorders>
              <w:left w:val="threeDEngrave" w:sz="12" w:space="0" w:color="auto"/>
              <w:right w:val="threeDEngrave" w:sz="12" w:space="0" w:color="auto"/>
            </w:tcBorders>
            <w:vAlign w:val="center"/>
            <w:hideMark/>
          </w:tcPr>
          <w:p w:rsidR="001B70B4" w:rsidRPr="003C5252" w:rsidRDefault="001B70B4" w:rsidP="001237B1">
            <w:pPr>
              <w:rPr>
                <w:rFonts w:eastAsia="Times New Roman" w:cs="Calibri"/>
              </w:rPr>
            </w:pPr>
            <w:r w:rsidRPr="003C5252">
              <w:rPr>
                <w:rFonts w:eastAsia="Times New Roman" w:cs="Calibri"/>
              </w:rPr>
              <w:t>Marshall</w:t>
            </w:r>
          </w:p>
        </w:tc>
        <w:tc>
          <w:tcPr>
            <w:tcW w:w="815" w:type="dxa"/>
            <w:tcBorders>
              <w:left w:val="threeDEngrave" w:sz="12" w:space="0" w:color="auto"/>
            </w:tcBorders>
            <w:vAlign w:val="center"/>
            <w:hideMark/>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sidRPr="003C5252">
              <w:rPr>
                <w:rFonts w:eastAsia="Times New Roman" w:cs="Calibri"/>
                <w:color w:val="000000"/>
              </w:rPr>
              <w:t>0.9</w:t>
            </w:r>
          </w:p>
        </w:tc>
        <w:tc>
          <w:tcPr>
            <w:tcW w:w="767" w:type="dxa"/>
            <w:vAlign w:val="center"/>
            <w:hideMark/>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sidRPr="003C5252">
              <w:rPr>
                <w:rFonts w:eastAsia="Times New Roman" w:cs="Calibri"/>
                <w:color w:val="000000"/>
              </w:rPr>
              <w:t>10.9</w:t>
            </w:r>
          </w:p>
        </w:tc>
        <w:tc>
          <w:tcPr>
            <w:tcW w:w="828" w:type="dxa"/>
            <w:vAlign w:val="center"/>
            <w:hideMark/>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sidRPr="003C5252">
              <w:rPr>
                <w:rFonts w:eastAsia="Times New Roman" w:cs="Calibri"/>
                <w:color w:val="000000"/>
              </w:rPr>
              <w:t>7.0</w:t>
            </w:r>
          </w:p>
        </w:tc>
        <w:tc>
          <w:tcPr>
            <w:tcW w:w="828" w:type="dxa"/>
            <w:tcBorders>
              <w:right w:val="threeDEngrave" w:sz="12" w:space="0" w:color="auto"/>
            </w:tcBorders>
            <w:vAlign w:val="center"/>
            <w:hideMark/>
          </w:tcPr>
          <w:p w:rsidR="001B70B4" w:rsidRPr="003C5252"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sidRPr="003C5252">
              <w:rPr>
                <w:rFonts w:eastAsia="Times New Roman" w:cs="Calibri"/>
                <w:color w:val="000000"/>
              </w:rPr>
              <w:t>5.1</w:t>
            </w:r>
          </w:p>
        </w:tc>
        <w:tc>
          <w:tcPr>
            <w:tcW w:w="767" w:type="dxa"/>
            <w:tcBorders>
              <w:left w:val="threeDEngrave" w:sz="12" w:space="0" w:color="auto"/>
            </w:tcBorders>
            <w:vAlign w:val="center"/>
          </w:tcPr>
          <w:p w:rsidR="001B70B4" w:rsidRPr="0051741D"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rPr>
            </w:pPr>
            <w:r w:rsidRPr="0051741D">
              <w:rPr>
                <w:rFonts w:eastAsia="Times New Roman" w:cs="Calibri"/>
              </w:rPr>
              <w:t>3.6</w:t>
            </w:r>
          </w:p>
        </w:tc>
        <w:tc>
          <w:tcPr>
            <w:tcW w:w="772" w:type="dxa"/>
            <w:vAlign w:val="center"/>
          </w:tcPr>
          <w:p w:rsidR="001B70B4" w:rsidRPr="0051741D"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rPr>
            </w:pPr>
            <w:r w:rsidRPr="0051741D">
              <w:rPr>
                <w:rFonts w:eastAsia="Times New Roman" w:cs="Calibri"/>
              </w:rPr>
              <w:t>10.9</w:t>
            </w:r>
          </w:p>
        </w:tc>
        <w:tc>
          <w:tcPr>
            <w:tcW w:w="772" w:type="dxa"/>
            <w:vAlign w:val="center"/>
          </w:tcPr>
          <w:p w:rsidR="001B70B4" w:rsidRPr="0051741D"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rPr>
            </w:pPr>
            <w:r w:rsidRPr="0051741D">
              <w:rPr>
                <w:rFonts w:eastAsia="Times New Roman" w:cs="Calibri"/>
              </w:rPr>
              <w:t>18.0</w:t>
            </w:r>
          </w:p>
        </w:tc>
        <w:tc>
          <w:tcPr>
            <w:tcW w:w="772" w:type="dxa"/>
            <w:tcBorders>
              <w:right w:val="threeDEngrave" w:sz="12" w:space="0" w:color="auto"/>
            </w:tcBorders>
            <w:vAlign w:val="center"/>
          </w:tcPr>
          <w:p w:rsidR="001B70B4" w:rsidRPr="0051741D" w:rsidRDefault="001B70B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rPr>
            </w:pPr>
            <w:r w:rsidRPr="0051741D">
              <w:rPr>
                <w:rFonts w:eastAsia="Times New Roman" w:cs="Calibri"/>
              </w:rPr>
              <w:t>7.6</w:t>
            </w:r>
          </w:p>
        </w:tc>
      </w:tr>
      <w:tr w:rsidR="001B70B4" w:rsidRPr="003C5252" w:rsidTr="00123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9" w:type="dxa"/>
            <w:tcBorders>
              <w:left w:val="threeDEngrave" w:sz="12" w:space="0" w:color="auto"/>
              <w:right w:val="threeDEngrave" w:sz="12" w:space="0" w:color="auto"/>
            </w:tcBorders>
            <w:vAlign w:val="center"/>
            <w:hideMark/>
          </w:tcPr>
          <w:p w:rsidR="001B70B4" w:rsidRPr="003C5252" w:rsidRDefault="001B70B4" w:rsidP="001237B1">
            <w:pPr>
              <w:rPr>
                <w:rFonts w:eastAsia="Times New Roman" w:cs="Calibri"/>
              </w:rPr>
            </w:pPr>
            <w:r w:rsidRPr="003C5252">
              <w:rPr>
                <w:rFonts w:eastAsia="Times New Roman" w:cs="Calibri"/>
              </w:rPr>
              <w:t>Murray*</w:t>
            </w:r>
          </w:p>
        </w:tc>
        <w:tc>
          <w:tcPr>
            <w:tcW w:w="815" w:type="dxa"/>
            <w:tcBorders>
              <w:left w:val="threeDEngrave" w:sz="12" w:space="0" w:color="auto"/>
            </w:tcBorders>
            <w:vAlign w:val="center"/>
            <w:hideMark/>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C5252">
              <w:rPr>
                <w:rFonts w:eastAsia="Times New Roman" w:cs="Calibri"/>
                <w:color w:val="000000"/>
              </w:rPr>
              <w:t>0</w:t>
            </w:r>
          </w:p>
        </w:tc>
        <w:tc>
          <w:tcPr>
            <w:tcW w:w="767" w:type="dxa"/>
            <w:vAlign w:val="center"/>
            <w:hideMark/>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C5252">
              <w:rPr>
                <w:rFonts w:eastAsia="Times New Roman" w:cs="Calibri"/>
                <w:color w:val="000000"/>
              </w:rPr>
              <w:t>3.23</w:t>
            </w:r>
          </w:p>
        </w:tc>
        <w:tc>
          <w:tcPr>
            <w:tcW w:w="828" w:type="dxa"/>
            <w:vAlign w:val="center"/>
            <w:hideMark/>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C5252">
              <w:rPr>
                <w:rFonts w:eastAsia="Times New Roman" w:cs="Calibri"/>
                <w:color w:val="000000"/>
              </w:rPr>
              <w:t>NA</w:t>
            </w:r>
          </w:p>
        </w:tc>
        <w:tc>
          <w:tcPr>
            <w:tcW w:w="828" w:type="dxa"/>
            <w:tcBorders>
              <w:right w:val="threeDEngrave" w:sz="12" w:space="0" w:color="auto"/>
            </w:tcBorders>
            <w:vAlign w:val="center"/>
            <w:hideMark/>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C5252">
              <w:rPr>
                <w:rFonts w:eastAsia="Times New Roman" w:cs="Calibri"/>
                <w:color w:val="000000"/>
              </w:rPr>
              <w:t>NA</w:t>
            </w:r>
          </w:p>
        </w:tc>
        <w:tc>
          <w:tcPr>
            <w:tcW w:w="767" w:type="dxa"/>
            <w:tcBorders>
              <w:left w:val="threeDEngrave" w:sz="12" w:space="0" w:color="auto"/>
            </w:tcBorders>
            <w:vAlign w:val="center"/>
          </w:tcPr>
          <w:p w:rsidR="001B70B4" w:rsidRPr="0051741D"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1741D">
              <w:rPr>
                <w:rFonts w:eastAsia="Times New Roman" w:cs="Calibri"/>
              </w:rPr>
              <w:t>5.97</w:t>
            </w:r>
          </w:p>
        </w:tc>
        <w:tc>
          <w:tcPr>
            <w:tcW w:w="772" w:type="dxa"/>
            <w:vAlign w:val="center"/>
          </w:tcPr>
          <w:p w:rsidR="001B70B4" w:rsidRPr="0051741D"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1741D">
              <w:rPr>
                <w:rFonts w:eastAsia="Times New Roman" w:cs="Calibri"/>
              </w:rPr>
              <w:t>12.90</w:t>
            </w:r>
          </w:p>
        </w:tc>
        <w:tc>
          <w:tcPr>
            <w:tcW w:w="772" w:type="dxa"/>
            <w:vAlign w:val="center"/>
          </w:tcPr>
          <w:p w:rsidR="001B70B4" w:rsidRPr="0051741D"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1741D">
              <w:rPr>
                <w:rFonts w:eastAsia="Times New Roman" w:cs="Calibri"/>
              </w:rPr>
              <w:t>NA</w:t>
            </w:r>
          </w:p>
        </w:tc>
        <w:tc>
          <w:tcPr>
            <w:tcW w:w="772" w:type="dxa"/>
            <w:tcBorders>
              <w:right w:val="threeDEngrave" w:sz="12" w:space="0" w:color="auto"/>
            </w:tcBorders>
            <w:vAlign w:val="center"/>
          </w:tcPr>
          <w:p w:rsidR="001B70B4" w:rsidRPr="0051741D"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r w:rsidRPr="0051741D">
              <w:rPr>
                <w:rFonts w:eastAsia="Times New Roman" w:cs="Calibri"/>
              </w:rPr>
              <w:t>NA</w:t>
            </w:r>
          </w:p>
        </w:tc>
      </w:tr>
      <w:tr w:rsidR="001B70B4" w:rsidRPr="003C5252" w:rsidTr="00542FB6">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9" w:type="dxa"/>
            <w:tcBorders>
              <w:left w:val="threeDEngrave" w:sz="12" w:space="0" w:color="auto"/>
              <w:right w:val="threeDEngrave" w:sz="12" w:space="0" w:color="auto"/>
            </w:tcBorders>
            <w:shd w:val="clear" w:color="auto" w:fill="FFFF00"/>
            <w:vAlign w:val="center"/>
            <w:hideMark/>
          </w:tcPr>
          <w:p w:rsidR="001B70B4" w:rsidRPr="003C5252" w:rsidRDefault="001B70B4" w:rsidP="001237B1">
            <w:pPr>
              <w:rPr>
                <w:rFonts w:eastAsia="Times New Roman" w:cs="Calibri"/>
              </w:rPr>
            </w:pPr>
            <w:r w:rsidRPr="003C5252">
              <w:rPr>
                <w:rFonts w:eastAsia="Times New Roman" w:cs="Calibri"/>
              </w:rPr>
              <w:t>Pontotoc</w:t>
            </w:r>
          </w:p>
        </w:tc>
        <w:tc>
          <w:tcPr>
            <w:tcW w:w="815" w:type="dxa"/>
            <w:tcBorders>
              <w:left w:val="threeDEngrave" w:sz="12" w:space="0" w:color="auto"/>
            </w:tcBorders>
            <w:shd w:val="clear" w:color="auto" w:fill="FFFF00"/>
            <w:vAlign w:val="center"/>
            <w:hideMark/>
          </w:tcPr>
          <w:p w:rsidR="001B70B4" w:rsidRPr="003C5252" w:rsidRDefault="00DE7B6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Pr>
                <w:rFonts w:eastAsia="Times New Roman" w:cs="Calibri"/>
                <w:color w:val="000000"/>
              </w:rPr>
              <w:t>2.0</w:t>
            </w:r>
          </w:p>
        </w:tc>
        <w:tc>
          <w:tcPr>
            <w:tcW w:w="767" w:type="dxa"/>
            <w:shd w:val="clear" w:color="auto" w:fill="FFFF00"/>
            <w:vAlign w:val="center"/>
            <w:hideMark/>
          </w:tcPr>
          <w:p w:rsidR="001B70B4" w:rsidRPr="003C5252" w:rsidRDefault="00DE7B6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Pr>
                <w:rFonts w:eastAsia="Times New Roman" w:cs="Calibri"/>
                <w:color w:val="000000"/>
              </w:rPr>
              <w:t>4.5</w:t>
            </w:r>
          </w:p>
        </w:tc>
        <w:tc>
          <w:tcPr>
            <w:tcW w:w="828" w:type="dxa"/>
            <w:shd w:val="clear" w:color="auto" w:fill="FFFF00"/>
            <w:vAlign w:val="center"/>
            <w:hideMark/>
          </w:tcPr>
          <w:p w:rsidR="001B70B4" w:rsidRPr="003C5252" w:rsidRDefault="00DE7B6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Pr>
                <w:rFonts w:eastAsia="Times New Roman" w:cs="Calibri"/>
                <w:color w:val="000000"/>
              </w:rPr>
              <w:t>5.7</w:t>
            </w:r>
          </w:p>
        </w:tc>
        <w:tc>
          <w:tcPr>
            <w:tcW w:w="828" w:type="dxa"/>
            <w:tcBorders>
              <w:right w:val="threeDEngrave" w:sz="12" w:space="0" w:color="auto"/>
            </w:tcBorders>
            <w:shd w:val="clear" w:color="auto" w:fill="FFFF00"/>
            <w:vAlign w:val="center"/>
            <w:hideMark/>
          </w:tcPr>
          <w:p w:rsidR="001B70B4" w:rsidRPr="003C5252" w:rsidRDefault="00542FB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rPr>
            </w:pPr>
            <w:r>
              <w:rPr>
                <w:rFonts w:eastAsia="Times New Roman" w:cs="Calibri"/>
                <w:color w:val="000000"/>
              </w:rPr>
              <w:t>4.8</w:t>
            </w:r>
          </w:p>
        </w:tc>
        <w:tc>
          <w:tcPr>
            <w:tcW w:w="767" w:type="dxa"/>
            <w:tcBorders>
              <w:left w:val="threeDEngrave" w:sz="12" w:space="0" w:color="auto"/>
            </w:tcBorders>
            <w:shd w:val="clear" w:color="auto" w:fill="FFFF00"/>
            <w:vAlign w:val="center"/>
          </w:tcPr>
          <w:p w:rsidR="001B70B4" w:rsidRPr="0051741D" w:rsidRDefault="00542FB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rPr>
            </w:pPr>
            <w:r>
              <w:rPr>
                <w:rFonts w:eastAsia="Times New Roman" w:cs="Calibri"/>
              </w:rPr>
              <w:t>4.4</w:t>
            </w:r>
          </w:p>
        </w:tc>
        <w:tc>
          <w:tcPr>
            <w:tcW w:w="772" w:type="dxa"/>
            <w:shd w:val="clear" w:color="auto" w:fill="FFFF00"/>
            <w:vAlign w:val="center"/>
          </w:tcPr>
          <w:p w:rsidR="001B70B4" w:rsidRPr="0051741D" w:rsidRDefault="00542FB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rPr>
            </w:pPr>
            <w:r>
              <w:rPr>
                <w:rFonts w:eastAsia="Times New Roman" w:cs="Calibri"/>
              </w:rPr>
              <w:t>9.3</w:t>
            </w:r>
          </w:p>
        </w:tc>
        <w:tc>
          <w:tcPr>
            <w:tcW w:w="772" w:type="dxa"/>
            <w:shd w:val="clear" w:color="auto" w:fill="FFFF00"/>
            <w:vAlign w:val="center"/>
          </w:tcPr>
          <w:p w:rsidR="001B70B4" w:rsidRPr="0051741D" w:rsidRDefault="00542FB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rPr>
            </w:pPr>
            <w:r>
              <w:rPr>
                <w:rFonts w:eastAsia="Times New Roman" w:cs="Calibri"/>
              </w:rPr>
              <w:t>12.1</w:t>
            </w:r>
          </w:p>
        </w:tc>
        <w:tc>
          <w:tcPr>
            <w:tcW w:w="772" w:type="dxa"/>
            <w:tcBorders>
              <w:right w:val="threeDEngrave" w:sz="12" w:space="0" w:color="auto"/>
            </w:tcBorders>
            <w:shd w:val="clear" w:color="auto" w:fill="FFFF00"/>
            <w:vAlign w:val="center"/>
          </w:tcPr>
          <w:p w:rsidR="001B70B4" w:rsidRPr="0051741D" w:rsidRDefault="00542FB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Calibri"/>
              </w:rPr>
            </w:pPr>
            <w:r>
              <w:rPr>
                <w:rFonts w:eastAsia="Times New Roman" w:cs="Calibri"/>
              </w:rPr>
              <w:t>15.6</w:t>
            </w:r>
          </w:p>
        </w:tc>
      </w:tr>
      <w:tr w:rsidR="001B70B4" w:rsidRPr="003C5252" w:rsidTr="00123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580" w:type="dxa"/>
            <w:gridSpan w:val="9"/>
            <w:tcBorders>
              <w:left w:val="threeDEngrave" w:sz="12" w:space="0" w:color="auto"/>
              <w:bottom w:val="threeDEngrave" w:sz="12" w:space="0" w:color="auto"/>
              <w:right w:val="threeDEngrave" w:sz="12" w:space="0" w:color="auto"/>
            </w:tcBorders>
          </w:tcPr>
          <w:p w:rsidR="001B70B4" w:rsidRDefault="001B70B4" w:rsidP="001237B1">
            <w:pPr>
              <w:jc w:val="center"/>
              <w:rPr>
                <w:rFonts w:eastAsia="Times New Roman" w:cs="Calibri"/>
                <w:color w:val="000000"/>
              </w:rPr>
            </w:pPr>
            <w:r w:rsidRPr="003C5252">
              <w:rPr>
                <w:rFonts w:eastAsia="Times New Roman" w:cs="Calibri"/>
                <w:color w:val="000000"/>
              </w:rPr>
              <w:t>Source:</w:t>
            </w:r>
            <w:r w:rsidR="00542FB6">
              <w:rPr>
                <w:rFonts w:eastAsia="Times New Roman" w:cs="Calibri"/>
                <w:color w:val="000000"/>
              </w:rPr>
              <w:t xml:space="preserve"> </w:t>
            </w:r>
            <w:r w:rsidRPr="003C5252">
              <w:rPr>
                <w:rFonts w:eastAsia="Times New Roman" w:cs="Calibri"/>
                <w:color w:val="000000"/>
              </w:rPr>
              <w:t>2010* and 2014 Oklahoma Prevention Needs Assessment (OPNA) - all values are percentages</w:t>
            </w:r>
          </w:p>
          <w:p w:rsidR="00542FB6" w:rsidRPr="003C5252" w:rsidRDefault="00542FB6" w:rsidP="001237B1">
            <w:pPr>
              <w:jc w:val="center"/>
              <w:rPr>
                <w:rFonts w:eastAsia="Times New Roman" w:cs="Calibri"/>
                <w:color w:val="000000"/>
              </w:rPr>
            </w:pPr>
            <w:r>
              <w:rPr>
                <w:rFonts w:eastAsia="Times New Roman" w:cs="Calibri"/>
                <w:color w:val="000000"/>
              </w:rPr>
              <w:t xml:space="preserve">Source: Highlighted State/Counties participated in 2016 </w:t>
            </w:r>
            <w:r w:rsidRPr="00A13714">
              <w:rPr>
                <w:rFonts w:eastAsia="Times New Roman" w:cs="Calibri"/>
                <w:color w:val="000000"/>
              </w:rPr>
              <w:t>Oklahoma Prevention Needs Assessment (OPNA) – all values are percentages</w:t>
            </w:r>
          </w:p>
        </w:tc>
      </w:tr>
    </w:tbl>
    <w:p w:rsidR="001B70B4" w:rsidRPr="003C5252" w:rsidRDefault="001B70B4" w:rsidP="001B70B4">
      <w:pPr>
        <w:rPr>
          <w:rFonts w:cstheme="minorHAnsi"/>
          <w:b/>
          <w:sz w:val="24"/>
          <w:szCs w:val="24"/>
        </w:rPr>
      </w:pPr>
    </w:p>
    <w:p w:rsidR="001B70B4" w:rsidRPr="003C5252" w:rsidRDefault="001B70B4" w:rsidP="001B70B4">
      <w:pPr>
        <w:widowControl w:val="0"/>
        <w:rPr>
          <w:rFonts w:ascii="Calibri" w:hAnsi="Calibri" w:cs="Calibri"/>
          <w:sz w:val="24"/>
          <w:szCs w:val="24"/>
        </w:rPr>
      </w:pPr>
    </w:p>
    <w:p w:rsidR="001B70B4" w:rsidRPr="003C5252" w:rsidRDefault="001B70B4" w:rsidP="001B70B4">
      <w:pPr>
        <w:widowControl w:val="0"/>
        <w:rPr>
          <w:rFonts w:ascii="Calibri" w:hAnsi="Calibri" w:cs="Calibri"/>
          <w:sz w:val="24"/>
          <w:szCs w:val="24"/>
        </w:rPr>
      </w:pPr>
    </w:p>
    <w:p w:rsidR="001B70B4" w:rsidRPr="003C5252" w:rsidRDefault="001B70B4" w:rsidP="001B70B4">
      <w:pPr>
        <w:widowControl w:val="0"/>
        <w:rPr>
          <w:rFonts w:ascii="Calibri" w:hAnsi="Calibri" w:cs="Calibri"/>
          <w:sz w:val="24"/>
          <w:szCs w:val="24"/>
        </w:rPr>
      </w:pPr>
    </w:p>
    <w:p w:rsidR="001B70B4" w:rsidRPr="003C5252" w:rsidRDefault="001B70B4" w:rsidP="001B70B4">
      <w:pPr>
        <w:widowControl w:val="0"/>
        <w:rPr>
          <w:rFonts w:ascii="Calibri" w:hAnsi="Calibri" w:cs="Calibri"/>
          <w:sz w:val="24"/>
          <w:szCs w:val="24"/>
        </w:rPr>
      </w:pPr>
    </w:p>
    <w:p w:rsidR="001B70B4" w:rsidRPr="003C5252" w:rsidRDefault="001B70B4" w:rsidP="001B70B4">
      <w:pPr>
        <w:widowControl w:val="0"/>
        <w:rPr>
          <w:rFonts w:ascii="Calibri" w:hAnsi="Calibri" w:cs="Calibri"/>
          <w:sz w:val="24"/>
          <w:szCs w:val="24"/>
        </w:rPr>
      </w:pPr>
    </w:p>
    <w:p w:rsidR="001B70B4" w:rsidRPr="003C5252" w:rsidRDefault="001B70B4" w:rsidP="001B70B4">
      <w:pPr>
        <w:widowControl w:val="0"/>
        <w:rPr>
          <w:rFonts w:ascii="Calibri" w:hAnsi="Calibri" w:cs="Calibri"/>
          <w:sz w:val="24"/>
          <w:szCs w:val="24"/>
        </w:rPr>
      </w:pPr>
    </w:p>
    <w:p w:rsidR="001B70B4" w:rsidRPr="003C5252" w:rsidRDefault="001B70B4" w:rsidP="001B70B4">
      <w:pPr>
        <w:widowControl w:val="0"/>
        <w:rPr>
          <w:rFonts w:ascii="Calibri" w:hAnsi="Calibri" w:cs="Calibri"/>
          <w:sz w:val="24"/>
          <w:szCs w:val="24"/>
        </w:rPr>
      </w:pPr>
    </w:p>
    <w:p w:rsidR="001B70B4" w:rsidRPr="003C5252" w:rsidRDefault="001B70B4" w:rsidP="001B70B4">
      <w:pPr>
        <w:widowControl w:val="0"/>
        <w:rPr>
          <w:rFonts w:ascii="Calibri" w:hAnsi="Calibri" w:cs="Calibri"/>
          <w:sz w:val="24"/>
          <w:szCs w:val="24"/>
        </w:rPr>
      </w:pPr>
    </w:p>
    <w:p w:rsidR="001B70B4" w:rsidRPr="003C5252" w:rsidRDefault="001B70B4" w:rsidP="001B70B4">
      <w:pPr>
        <w:widowControl w:val="0"/>
        <w:rPr>
          <w:rFonts w:ascii="Calibri" w:hAnsi="Calibri" w:cs="Calibri"/>
          <w:sz w:val="24"/>
          <w:szCs w:val="24"/>
        </w:rPr>
      </w:pPr>
    </w:p>
    <w:p w:rsidR="00A25EC9" w:rsidRDefault="00A25EC9" w:rsidP="001B70B4">
      <w:pPr>
        <w:widowControl w:val="0"/>
        <w:rPr>
          <w:rFonts w:ascii="Calibri" w:hAnsi="Calibri" w:cs="Calibri"/>
          <w:sz w:val="24"/>
          <w:szCs w:val="24"/>
        </w:rPr>
      </w:pPr>
      <w:r w:rsidRPr="006E46A4">
        <w:rPr>
          <w:rFonts w:ascii="Calibri" w:hAnsi="Calibri" w:cs="Calibri"/>
          <w:b/>
          <w:sz w:val="24"/>
          <w:szCs w:val="24"/>
          <w:u w:val="single"/>
        </w:rPr>
        <w:t>Findings from 2010-2014 OPNA:</w:t>
      </w:r>
    </w:p>
    <w:p w:rsidR="001B70B4" w:rsidRPr="006A4971" w:rsidRDefault="001B70B4" w:rsidP="00A25EC9">
      <w:pPr>
        <w:widowControl w:val="0"/>
        <w:jc w:val="both"/>
        <w:rPr>
          <w:rFonts w:ascii="Calibri" w:hAnsi="Calibri" w:cs="Calibri"/>
          <w:sz w:val="24"/>
          <w:szCs w:val="24"/>
        </w:rPr>
      </w:pPr>
      <w:r w:rsidRPr="003C5252">
        <w:rPr>
          <w:rFonts w:ascii="Calibri" w:hAnsi="Calibri" w:cs="Calibri"/>
          <w:sz w:val="24"/>
          <w:szCs w:val="24"/>
        </w:rPr>
        <w:t>In comparison to the state, 6</w:t>
      </w:r>
      <w:r w:rsidRPr="003C5252">
        <w:rPr>
          <w:rFonts w:ascii="Calibri" w:hAnsi="Calibri" w:cs="Calibri"/>
          <w:sz w:val="24"/>
          <w:szCs w:val="24"/>
          <w:vertAlign w:val="superscript"/>
        </w:rPr>
        <w:t>th</w:t>
      </w:r>
      <w:r w:rsidRPr="003C5252">
        <w:rPr>
          <w:rFonts w:ascii="Calibri" w:hAnsi="Calibri" w:cs="Calibri"/>
          <w:sz w:val="24"/>
          <w:szCs w:val="24"/>
        </w:rPr>
        <w:t xml:space="preserve"> and 12</w:t>
      </w:r>
      <w:r w:rsidRPr="003C5252">
        <w:rPr>
          <w:rFonts w:ascii="Calibri" w:hAnsi="Calibri" w:cs="Calibri"/>
          <w:sz w:val="24"/>
          <w:szCs w:val="24"/>
          <w:vertAlign w:val="superscript"/>
        </w:rPr>
        <w:t>th</w:t>
      </w:r>
      <w:r w:rsidRPr="003C5252">
        <w:rPr>
          <w:rFonts w:ascii="Calibri" w:hAnsi="Calibri" w:cs="Calibri"/>
          <w:sz w:val="24"/>
          <w:szCs w:val="24"/>
        </w:rPr>
        <w:t xml:space="preserve"> grade Carter County studen</w:t>
      </w:r>
      <w:r w:rsidR="004E7956">
        <w:rPr>
          <w:rFonts w:ascii="Calibri" w:hAnsi="Calibri" w:cs="Calibri"/>
          <w:sz w:val="24"/>
          <w:szCs w:val="24"/>
        </w:rPr>
        <w:t>ts had higher percentages of 30 Day M</w:t>
      </w:r>
      <w:r w:rsidRPr="003C5252">
        <w:rPr>
          <w:rFonts w:ascii="Calibri" w:hAnsi="Calibri" w:cs="Calibri"/>
          <w:sz w:val="24"/>
          <w:szCs w:val="24"/>
        </w:rPr>
        <w:t>isuse.  Love</w:t>
      </w:r>
      <w:r>
        <w:rPr>
          <w:rFonts w:ascii="Calibri" w:hAnsi="Calibri" w:cs="Calibri"/>
          <w:sz w:val="24"/>
          <w:szCs w:val="24"/>
        </w:rPr>
        <w:t xml:space="preserve"> County</w:t>
      </w:r>
      <w:r w:rsidRPr="003C5252">
        <w:rPr>
          <w:rFonts w:ascii="Calibri" w:hAnsi="Calibri" w:cs="Calibri"/>
          <w:sz w:val="24"/>
          <w:szCs w:val="24"/>
        </w:rPr>
        <w:t xml:space="preserve"> 6</w:t>
      </w:r>
      <w:r w:rsidRPr="003C5252">
        <w:rPr>
          <w:rFonts w:ascii="Calibri" w:hAnsi="Calibri" w:cs="Calibri"/>
          <w:sz w:val="24"/>
          <w:szCs w:val="24"/>
          <w:vertAlign w:val="superscript"/>
        </w:rPr>
        <w:t>th</w:t>
      </w:r>
      <w:r w:rsidRPr="003C5252">
        <w:rPr>
          <w:rFonts w:ascii="Calibri" w:hAnsi="Calibri" w:cs="Calibri"/>
          <w:sz w:val="24"/>
          <w:szCs w:val="24"/>
        </w:rPr>
        <w:t xml:space="preserve"> grade students had more than two time</w:t>
      </w:r>
      <w:r w:rsidR="004E7956">
        <w:rPr>
          <w:rFonts w:ascii="Calibri" w:hAnsi="Calibri" w:cs="Calibri"/>
          <w:sz w:val="24"/>
          <w:szCs w:val="24"/>
        </w:rPr>
        <w:t>s the state’s percentage for 30 Day M</w:t>
      </w:r>
      <w:r w:rsidRPr="003C5252">
        <w:rPr>
          <w:rFonts w:ascii="Calibri" w:hAnsi="Calibri" w:cs="Calibri"/>
          <w:sz w:val="24"/>
          <w:szCs w:val="24"/>
        </w:rPr>
        <w:t>isuse and higher rate for 12th graders as well.  8</w:t>
      </w:r>
      <w:r w:rsidRPr="003C5252">
        <w:rPr>
          <w:rFonts w:ascii="Calibri" w:hAnsi="Calibri" w:cs="Calibri"/>
          <w:sz w:val="24"/>
          <w:szCs w:val="24"/>
          <w:vertAlign w:val="superscript"/>
        </w:rPr>
        <w:t>th</w:t>
      </w:r>
      <w:r w:rsidRPr="003C5252">
        <w:rPr>
          <w:rFonts w:ascii="Calibri" w:hAnsi="Calibri" w:cs="Calibri"/>
          <w:sz w:val="24"/>
          <w:szCs w:val="24"/>
        </w:rPr>
        <w:t xml:space="preserve"> and 10</w:t>
      </w:r>
      <w:r w:rsidRPr="003C5252">
        <w:rPr>
          <w:rFonts w:ascii="Calibri" w:hAnsi="Calibri" w:cs="Calibri"/>
          <w:sz w:val="24"/>
          <w:szCs w:val="24"/>
          <w:vertAlign w:val="superscript"/>
        </w:rPr>
        <w:t>th</w:t>
      </w:r>
      <w:r w:rsidRPr="003C5252">
        <w:rPr>
          <w:rFonts w:ascii="Calibri" w:hAnsi="Calibri" w:cs="Calibri"/>
          <w:sz w:val="24"/>
          <w:szCs w:val="24"/>
        </w:rPr>
        <w:t xml:space="preserve"> grade students from Garvin </w:t>
      </w:r>
      <w:r w:rsidRPr="006A4971">
        <w:rPr>
          <w:rFonts w:ascii="Calibri" w:hAnsi="Calibri" w:cs="Calibri"/>
          <w:sz w:val="24"/>
          <w:szCs w:val="24"/>
        </w:rPr>
        <w:t>County also had higher pe</w:t>
      </w:r>
      <w:r w:rsidR="004E7956">
        <w:rPr>
          <w:rFonts w:ascii="Calibri" w:hAnsi="Calibri" w:cs="Calibri"/>
          <w:sz w:val="24"/>
          <w:szCs w:val="24"/>
        </w:rPr>
        <w:t>rcentages than the state for 30 Day M</w:t>
      </w:r>
      <w:r w:rsidRPr="006A4971">
        <w:rPr>
          <w:rFonts w:ascii="Calibri" w:hAnsi="Calibri" w:cs="Calibri"/>
          <w:sz w:val="24"/>
          <w:szCs w:val="24"/>
        </w:rPr>
        <w:t>isuse.  Of all of the youth in Region 10 reporting misuse in the last 30 days, Carter County 6</w:t>
      </w:r>
      <w:r w:rsidRPr="006A4971">
        <w:rPr>
          <w:rFonts w:ascii="Calibri" w:hAnsi="Calibri" w:cs="Calibri"/>
          <w:sz w:val="24"/>
          <w:szCs w:val="24"/>
          <w:vertAlign w:val="superscript"/>
        </w:rPr>
        <w:t>th</w:t>
      </w:r>
      <w:r w:rsidRPr="006A4971">
        <w:rPr>
          <w:rFonts w:ascii="Calibri" w:hAnsi="Calibri" w:cs="Calibri"/>
          <w:sz w:val="24"/>
          <w:szCs w:val="24"/>
        </w:rPr>
        <w:t xml:space="preserve"> and 12</w:t>
      </w:r>
      <w:r w:rsidRPr="006A4971">
        <w:rPr>
          <w:rFonts w:ascii="Calibri" w:hAnsi="Calibri" w:cs="Calibri"/>
          <w:sz w:val="24"/>
          <w:szCs w:val="24"/>
          <w:vertAlign w:val="superscript"/>
        </w:rPr>
        <w:t>th</w:t>
      </w:r>
      <w:r w:rsidR="00DC5D19">
        <w:rPr>
          <w:rFonts w:ascii="Calibri" w:hAnsi="Calibri" w:cs="Calibri"/>
          <w:sz w:val="24"/>
          <w:szCs w:val="24"/>
        </w:rPr>
        <w:t xml:space="preserve"> grade students</w:t>
      </w:r>
      <w:r w:rsidRPr="006A4971">
        <w:rPr>
          <w:rFonts w:ascii="Calibri" w:hAnsi="Calibri" w:cs="Calibri"/>
          <w:sz w:val="24"/>
          <w:szCs w:val="24"/>
        </w:rPr>
        <w:t xml:space="preserve"> ha</w:t>
      </w:r>
      <w:r w:rsidR="00DC5D19">
        <w:rPr>
          <w:rFonts w:ascii="Calibri" w:hAnsi="Calibri" w:cs="Calibri"/>
          <w:sz w:val="24"/>
          <w:szCs w:val="24"/>
        </w:rPr>
        <w:t>d the highest percentages, (14.3)</w:t>
      </w:r>
      <w:r w:rsidRPr="006A4971">
        <w:rPr>
          <w:rFonts w:ascii="Calibri" w:hAnsi="Calibri" w:cs="Calibri"/>
          <w:sz w:val="24"/>
          <w:szCs w:val="24"/>
        </w:rPr>
        <w:t xml:space="preserve">, when compared to the region and the state. </w:t>
      </w:r>
    </w:p>
    <w:p w:rsidR="001B70B4" w:rsidRPr="00572518" w:rsidRDefault="001B70B4" w:rsidP="00A25EC9">
      <w:pPr>
        <w:widowControl w:val="0"/>
        <w:jc w:val="both"/>
        <w:rPr>
          <w:rFonts w:ascii="Calibri" w:hAnsi="Calibri" w:cs="Calibri"/>
          <w:sz w:val="24"/>
          <w:szCs w:val="24"/>
        </w:rPr>
      </w:pPr>
      <w:r w:rsidRPr="006A4971">
        <w:rPr>
          <w:rFonts w:ascii="Calibri" w:hAnsi="Calibri" w:cs="Calibri"/>
          <w:sz w:val="24"/>
          <w:szCs w:val="24"/>
        </w:rPr>
        <w:t xml:space="preserve">For </w:t>
      </w:r>
      <w:r>
        <w:rPr>
          <w:rFonts w:ascii="Calibri" w:hAnsi="Calibri" w:cs="Calibri"/>
          <w:sz w:val="24"/>
          <w:szCs w:val="24"/>
        </w:rPr>
        <w:t>l</w:t>
      </w:r>
      <w:r w:rsidRPr="006A4971">
        <w:rPr>
          <w:rFonts w:ascii="Calibri" w:hAnsi="Calibri" w:cs="Calibri"/>
          <w:sz w:val="24"/>
          <w:szCs w:val="24"/>
        </w:rPr>
        <w:t xml:space="preserve">ifetime </w:t>
      </w:r>
      <w:r>
        <w:rPr>
          <w:rFonts w:ascii="Calibri" w:hAnsi="Calibri" w:cs="Calibri"/>
          <w:sz w:val="24"/>
          <w:szCs w:val="24"/>
        </w:rPr>
        <w:t>m</w:t>
      </w:r>
      <w:r w:rsidRPr="006A4971">
        <w:rPr>
          <w:rFonts w:ascii="Calibri" w:hAnsi="Calibri" w:cs="Calibri"/>
          <w:sz w:val="24"/>
          <w:szCs w:val="24"/>
        </w:rPr>
        <w:t>isuse, Love</w:t>
      </w:r>
      <w:r>
        <w:rPr>
          <w:rFonts w:ascii="Calibri" w:hAnsi="Calibri" w:cs="Calibri"/>
          <w:sz w:val="24"/>
          <w:szCs w:val="24"/>
        </w:rPr>
        <w:t xml:space="preserve"> County</w:t>
      </w:r>
      <w:r w:rsidRPr="006A4971">
        <w:rPr>
          <w:rFonts w:ascii="Calibri" w:hAnsi="Calibri" w:cs="Calibri"/>
          <w:sz w:val="24"/>
          <w:szCs w:val="24"/>
        </w:rPr>
        <w:t xml:space="preserve"> 6</w:t>
      </w:r>
      <w:r w:rsidRPr="006A4971">
        <w:rPr>
          <w:rFonts w:ascii="Calibri" w:hAnsi="Calibri" w:cs="Calibri"/>
          <w:sz w:val="24"/>
          <w:szCs w:val="24"/>
          <w:vertAlign w:val="superscript"/>
        </w:rPr>
        <w:t>th</w:t>
      </w:r>
      <w:r w:rsidRPr="006A4971">
        <w:rPr>
          <w:rFonts w:ascii="Calibri" w:hAnsi="Calibri" w:cs="Calibri"/>
          <w:sz w:val="24"/>
          <w:szCs w:val="24"/>
        </w:rPr>
        <w:t xml:space="preserve"> grade students (7.81) reported a higher rate than the State (6.0). Carter County 10</w:t>
      </w:r>
      <w:r w:rsidRPr="006A4971">
        <w:rPr>
          <w:rFonts w:ascii="Calibri" w:hAnsi="Calibri" w:cs="Calibri"/>
          <w:sz w:val="24"/>
          <w:szCs w:val="24"/>
          <w:vertAlign w:val="superscript"/>
        </w:rPr>
        <w:t>th</w:t>
      </w:r>
      <w:r w:rsidRPr="006A4971">
        <w:rPr>
          <w:rFonts w:ascii="Calibri" w:hAnsi="Calibri" w:cs="Calibri"/>
          <w:sz w:val="24"/>
          <w:szCs w:val="24"/>
        </w:rPr>
        <w:t xml:space="preserve"> graders (19.5) and 12</w:t>
      </w:r>
      <w:r w:rsidRPr="006A4971">
        <w:rPr>
          <w:rFonts w:ascii="Calibri" w:hAnsi="Calibri" w:cs="Calibri"/>
          <w:sz w:val="24"/>
          <w:szCs w:val="24"/>
          <w:vertAlign w:val="superscript"/>
        </w:rPr>
        <w:t>th</w:t>
      </w:r>
      <w:r w:rsidRPr="006A4971">
        <w:rPr>
          <w:rFonts w:ascii="Calibri" w:hAnsi="Calibri" w:cs="Calibri"/>
          <w:sz w:val="24"/>
          <w:szCs w:val="24"/>
        </w:rPr>
        <w:t xml:space="preserve"> graders (25.1), as well as Marshall County 12</w:t>
      </w:r>
      <w:r w:rsidRPr="006A4971">
        <w:rPr>
          <w:rFonts w:ascii="Calibri" w:hAnsi="Calibri" w:cs="Calibri"/>
          <w:sz w:val="24"/>
          <w:szCs w:val="24"/>
          <w:vertAlign w:val="superscript"/>
        </w:rPr>
        <w:t>th</w:t>
      </w:r>
      <w:r w:rsidRPr="006A4971">
        <w:rPr>
          <w:rFonts w:ascii="Calibri" w:hAnsi="Calibri" w:cs="Calibri"/>
          <w:sz w:val="24"/>
          <w:szCs w:val="24"/>
        </w:rPr>
        <w:t xml:space="preserve"> grade students (18.0) also reported notably higher rates than the reported state rates for 10</w:t>
      </w:r>
      <w:r w:rsidRPr="006A4971">
        <w:rPr>
          <w:rFonts w:ascii="Calibri" w:hAnsi="Calibri" w:cs="Calibri"/>
          <w:sz w:val="24"/>
          <w:szCs w:val="24"/>
          <w:vertAlign w:val="superscript"/>
        </w:rPr>
        <w:t>th</w:t>
      </w:r>
      <w:r w:rsidRPr="006A4971">
        <w:rPr>
          <w:rFonts w:ascii="Calibri" w:hAnsi="Calibri" w:cs="Calibri"/>
          <w:sz w:val="24"/>
          <w:szCs w:val="24"/>
        </w:rPr>
        <w:t xml:space="preserve"> (17.4) and 12</w:t>
      </w:r>
      <w:r w:rsidRPr="006A4971">
        <w:rPr>
          <w:rFonts w:ascii="Calibri" w:hAnsi="Calibri" w:cs="Calibri"/>
          <w:sz w:val="24"/>
          <w:szCs w:val="24"/>
          <w:vertAlign w:val="superscript"/>
        </w:rPr>
        <w:t>th</w:t>
      </w:r>
      <w:r w:rsidRPr="006A4971">
        <w:rPr>
          <w:rFonts w:ascii="Calibri" w:hAnsi="Calibri" w:cs="Calibri"/>
          <w:sz w:val="24"/>
          <w:szCs w:val="24"/>
        </w:rPr>
        <w:t xml:space="preserve"> (18.1) grades, respectively.</w:t>
      </w:r>
    </w:p>
    <w:p w:rsidR="00DC5D19" w:rsidRDefault="00DC5D19" w:rsidP="001B70B4">
      <w:pPr>
        <w:rPr>
          <w:rFonts w:ascii="Calibri" w:hAnsi="Calibri" w:cs="Calibri"/>
          <w:b/>
          <w:sz w:val="24"/>
          <w:szCs w:val="24"/>
          <w:u w:val="single"/>
        </w:rPr>
      </w:pPr>
    </w:p>
    <w:p w:rsidR="001B70B4" w:rsidRDefault="00A25EC9" w:rsidP="001B70B4">
      <w:pPr>
        <w:rPr>
          <w:rFonts w:cstheme="minorHAnsi"/>
          <w:b/>
          <w:sz w:val="24"/>
          <w:szCs w:val="24"/>
        </w:rPr>
      </w:pPr>
      <w:r>
        <w:rPr>
          <w:rFonts w:ascii="Calibri" w:hAnsi="Calibri" w:cs="Calibri"/>
          <w:b/>
          <w:sz w:val="24"/>
          <w:szCs w:val="24"/>
          <w:u w:val="single"/>
        </w:rPr>
        <w:lastRenderedPageBreak/>
        <w:t xml:space="preserve">Findings from 2016 </w:t>
      </w:r>
      <w:r w:rsidRPr="006E46A4">
        <w:rPr>
          <w:rFonts w:ascii="Calibri" w:hAnsi="Calibri" w:cs="Calibri"/>
          <w:b/>
          <w:sz w:val="24"/>
          <w:szCs w:val="24"/>
          <w:u w:val="single"/>
        </w:rPr>
        <w:t>OPNA:</w:t>
      </w:r>
    </w:p>
    <w:p w:rsidR="00A25EC9" w:rsidRPr="006A4971" w:rsidRDefault="00A25EC9" w:rsidP="00A25EC9">
      <w:pPr>
        <w:widowControl w:val="0"/>
        <w:jc w:val="both"/>
        <w:rPr>
          <w:rFonts w:ascii="Calibri" w:hAnsi="Calibri" w:cs="Calibri"/>
          <w:sz w:val="24"/>
          <w:szCs w:val="24"/>
        </w:rPr>
      </w:pPr>
      <w:r w:rsidRPr="003C5252">
        <w:rPr>
          <w:rFonts w:ascii="Calibri" w:hAnsi="Calibri" w:cs="Calibri"/>
          <w:sz w:val="24"/>
          <w:szCs w:val="24"/>
        </w:rPr>
        <w:t>In comparison to the state, 6</w:t>
      </w:r>
      <w:r w:rsidRPr="003C5252">
        <w:rPr>
          <w:rFonts w:ascii="Calibri" w:hAnsi="Calibri" w:cs="Calibri"/>
          <w:sz w:val="24"/>
          <w:szCs w:val="24"/>
          <w:vertAlign w:val="superscript"/>
        </w:rPr>
        <w:t>th</w:t>
      </w:r>
      <w:r>
        <w:rPr>
          <w:rFonts w:ascii="Calibri" w:hAnsi="Calibri" w:cs="Calibri"/>
          <w:sz w:val="24"/>
          <w:szCs w:val="24"/>
        </w:rPr>
        <w:t>-</w:t>
      </w:r>
      <w:r w:rsidRPr="003C5252">
        <w:rPr>
          <w:rFonts w:ascii="Calibri" w:hAnsi="Calibri" w:cs="Calibri"/>
          <w:sz w:val="24"/>
          <w:szCs w:val="24"/>
        </w:rPr>
        <w:t>12</w:t>
      </w:r>
      <w:r w:rsidRPr="003C5252">
        <w:rPr>
          <w:rFonts w:ascii="Calibri" w:hAnsi="Calibri" w:cs="Calibri"/>
          <w:sz w:val="24"/>
          <w:szCs w:val="24"/>
          <w:vertAlign w:val="superscript"/>
        </w:rPr>
        <w:t>th</w:t>
      </w:r>
      <w:r w:rsidRPr="003C5252">
        <w:rPr>
          <w:rFonts w:ascii="Calibri" w:hAnsi="Calibri" w:cs="Calibri"/>
          <w:sz w:val="24"/>
          <w:szCs w:val="24"/>
        </w:rPr>
        <w:t xml:space="preserve"> grade Carter County studen</w:t>
      </w:r>
      <w:r w:rsidR="004E7956">
        <w:rPr>
          <w:rFonts w:ascii="Calibri" w:hAnsi="Calibri" w:cs="Calibri"/>
          <w:sz w:val="24"/>
          <w:szCs w:val="24"/>
        </w:rPr>
        <w:t>ts had higher percentages of 30 Day M</w:t>
      </w:r>
      <w:r>
        <w:rPr>
          <w:rFonts w:ascii="Calibri" w:hAnsi="Calibri" w:cs="Calibri"/>
          <w:sz w:val="24"/>
          <w:szCs w:val="24"/>
        </w:rPr>
        <w:t xml:space="preserve">isuse. </w:t>
      </w:r>
      <w:r w:rsidRPr="006A4971">
        <w:rPr>
          <w:rFonts w:ascii="Calibri" w:hAnsi="Calibri" w:cs="Calibri"/>
          <w:sz w:val="24"/>
          <w:szCs w:val="24"/>
        </w:rPr>
        <w:t>Of all of the youth in Region 10</w:t>
      </w:r>
      <w:r>
        <w:rPr>
          <w:rFonts w:ascii="Calibri" w:hAnsi="Calibri" w:cs="Calibri"/>
          <w:sz w:val="24"/>
          <w:szCs w:val="24"/>
        </w:rPr>
        <w:t xml:space="preserve">, who participated in the 2016 OPNA, </w:t>
      </w:r>
      <w:r w:rsidRPr="006A4971">
        <w:rPr>
          <w:rFonts w:ascii="Calibri" w:hAnsi="Calibri" w:cs="Calibri"/>
          <w:sz w:val="24"/>
          <w:szCs w:val="24"/>
        </w:rPr>
        <w:t xml:space="preserve">reporting misuse in the last 30 days, </w:t>
      </w:r>
      <w:r>
        <w:rPr>
          <w:rFonts w:ascii="Calibri" w:hAnsi="Calibri" w:cs="Calibri"/>
          <w:sz w:val="24"/>
          <w:szCs w:val="24"/>
        </w:rPr>
        <w:t xml:space="preserve">Bryan </w:t>
      </w:r>
      <w:r w:rsidRPr="006A4971">
        <w:rPr>
          <w:rFonts w:ascii="Calibri" w:hAnsi="Calibri" w:cs="Calibri"/>
          <w:sz w:val="24"/>
          <w:szCs w:val="24"/>
        </w:rPr>
        <w:t>County</w:t>
      </w:r>
      <w:r>
        <w:rPr>
          <w:rFonts w:ascii="Calibri" w:hAnsi="Calibri" w:cs="Calibri"/>
          <w:sz w:val="24"/>
          <w:szCs w:val="24"/>
        </w:rPr>
        <w:t>’s</w:t>
      </w:r>
      <w:r w:rsidRPr="006A4971">
        <w:rPr>
          <w:rFonts w:ascii="Calibri" w:hAnsi="Calibri" w:cs="Calibri"/>
          <w:sz w:val="24"/>
          <w:szCs w:val="24"/>
        </w:rPr>
        <w:t xml:space="preserve"> </w:t>
      </w:r>
      <w:r>
        <w:rPr>
          <w:rFonts w:ascii="Calibri" w:hAnsi="Calibri" w:cs="Calibri"/>
          <w:sz w:val="24"/>
          <w:szCs w:val="24"/>
        </w:rPr>
        <w:t>10</w:t>
      </w:r>
      <w:r w:rsidRPr="006A4971">
        <w:rPr>
          <w:rFonts w:ascii="Calibri" w:hAnsi="Calibri" w:cs="Calibri"/>
          <w:sz w:val="24"/>
          <w:szCs w:val="24"/>
          <w:vertAlign w:val="superscript"/>
        </w:rPr>
        <w:t>th</w:t>
      </w:r>
      <w:r w:rsidRPr="006A4971">
        <w:rPr>
          <w:rFonts w:ascii="Calibri" w:hAnsi="Calibri" w:cs="Calibri"/>
          <w:sz w:val="24"/>
          <w:szCs w:val="24"/>
        </w:rPr>
        <w:t xml:space="preserve"> </w:t>
      </w:r>
      <w:r w:rsidR="00EA2B6E">
        <w:rPr>
          <w:rFonts w:ascii="Calibri" w:hAnsi="Calibri" w:cs="Calibri"/>
          <w:sz w:val="24"/>
          <w:szCs w:val="24"/>
        </w:rPr>
        <w:t>grade students</w:t>
      </w:r>
      <w:r w:rsidRPr="006A4971">
        <w:rPr>
          <w:rFonts w:ascii="Calibri" w:hAnsi="Calibri" w:cs="Calibri"/>
          <w:sz w:val="24"/>
          <w:szCs w:val="24"/>
        </w:rPr>
        <w:t xml:space="preserve"> had the h</w:t>
      </w:r>
      <w:r>
        <w:rPr>
          <w:rFonts w:ascii="Calibri" w:hAnsi="Calibri" w:cs="Calibri"/>
          <w:sz w:val="24"/>
          <w:szCs w:val="24"/>
        </w:rPr>
        <w:t>ighest percen</w:t>
      </w:r>
      <w:r w:rsidR="00EA2B6E">
        <w:rPr>
          <w:rFonts w:ascii="Calibri" w:hAnsi="Calibri" w:cs="Calibri"/>
          <w:sz w:val="24"/>
          <w:szCs w:val="24"/>
        </w:rPr>
        <w:t>tage at</w:t>
      </w:r>
      <w:r>
        <w:rPr>
          <w:rFonts w:ascii="Calibri" w:hAnsi="Calibri" w:cs="Calibri"/>
          <w:sz w:val="24"/>
          <w:szCs w:val="24"/>
        </w:rPr>
        <w:t xml:space="preserve"> </w:t>
      </w:r>
      <w:r w:rsidR="00EA2B6E">
        <w:rPr>
          <w:rFonts w:ascii="Calibri" w:hAnsi="Calibri" w:cs="Calibri"/>
          <w:sz w:val="24"/>
          <w:szCs w:val="24"/>
        </w:rPr>
        <w:t>(</w:t>
      </w:r>
      <w:r>
        <w:rPr>
          <w:rFonts w:ascii="Calibri" w:hAnsi="Calibri" w:cs="Calibri"/>
          <w:sz w:val="24"/>
          <w:szCs w:val="24"/>
        </w:rPr>
        <w:t>10.9</w:t>
      </w:r>
      <w:r w:rsidR="00EA2B6E">
        <w:rPr>
          <w:rFonts w:ascii="Calibri" w:hAnsi="Calibri" w:cs="Calibri"/>
          <w:sz w:val="24"/>
          <w:szCs w:val="24"/>
        </w:rPr>
        <w:t>)</w:t>
      </w:r>
      <w:r w:rsidRPr="006A4971">
        <w:rPr>
          <w:rFonts w:ascii="Calibri" w:hAnsi="Calibri" w:cs="Calibri"/>
          <w:sz w:val="24"/>
          <w:szCs w:val="24"/>
        </w:rPr>
        <w:t>, when compared to the region and the state</w:t>
      </w:r>
      <w:r w:rsidR="00EA2B6E">
        <w:rPr>
          <w:rFonts w:ascii="Calibri" w:hAnsi="Calibri" w:cs="Calibri"/>
          <w:sz w:val="24"/>
          <w:szCs w:val="24"/>
        </w:rPr>
        <w:t xml:space="preserve"> (6.5)</w:t>
      </w:r>
      <w:r w:rsidRPr="006A4971">
        <w:rPr>
          <w:rFonts w:ascii="Calibri" w:hAnsi="Calibri" w:cs="Calibri"/>
          <w:sz w:val="24"/>
          <w:szCs w:val="24"/>
        </w:rPr>
        <w:t xml:space="preserve">. </w:t>
      </w:r>
      <w:r w:rsidR="00EA2B6E">
        <w:rPr>
          <w:rFonts w:ascii="Calibri" w:hAnsi="Calibri" w:cs="Calibri"/>
          <w:sz w:val="24"/>
          <w:szCs w:val="24"/>
        </w:rPr>
        <w:t>Carter County’s 12</w:t>
      </w:r>
      <w:r w:rsidR="00EA2B6E" w:rsidRPr="00EA2B6E">
        <w:rPr>
          <w:rFonts w:ascii="Calibri" w:hAnsi="Calibri" w:cs="Calibri"/>
          <w:sz w:val="24"/>
          <w:szCs w:val="24"/>
          <w:vertAlign w:val="superscript"/>
        </w:rPr>
        <w:t>th</w:t>
      </w:r>
      <w:r w:rsidR="00EA2B6E">
        <w:rPr>
          <w:rFonts w:ascii="Calibri" w:hAnsi="Calibri" w:cs="Calibri"/>
          <w:sz w:val="24"/>
          <w:szCs w:val="24"/>
        </w:rPr>
        <w:t xml:space="preserve"> grade students had the highest percentage at (10.8) when compared to the region and the state</w:t>
      </w:r>
      <w:r w:rsidR="005F0AF5">
        <w:rPr>
          <w:rFonts w:ascii="Calibri" w:hAnsi="Calibri" w:cs="Calibri"/>
          <w:sz w:val="24"/>
          <w:szCs w:val="24"/>
        </w:rPr>
        <w:t xml:space="preserve"> (7.3)</w:t>
      </w:r>
      <w:r w:rsidR="00EA2B6E">
        <w:rPr>
          <w:rFonts w:ascii="Calibri" w:hAnsi="Calibri" w:cs="Calibri"/>
          <w:sz w:val="24"/>
          <w:szCs w:val="24"/>
        </w:rPr>
        <w:t>.</w:t>
      </w:r>
    </w:p>
    <w:p w:rsidR="001B70B4" w:rsidRDefault="00A25EC9" w:rsidP="00A25EC9">
      <w:pPr>
        <w:rPr>
          <w:rFonts w:cstheme="minorHAnsi"/>
          <w:b/>
          <w:sz w:val="24"/>
          <w:szCs w:val="24"/>
        </w:rPr>
      </w:pPr>
      <w:r w:rsidRPr="006A4971">
        <w:rPr>
          <w:rFonts w:ascii="Calibri" w:hAnsi="Calibri" w:cs="Calibri"/>
          <w:sz w:val="24"/>
          <w:szCs w:val="24"/>
        </w:rPr>
        <w:t xml:space="preserve">For </w:t>
      </w:r>
      <w:r>
        <w:rPr>
          <w:rFonts w:ascii="Calibri" w:hAnsi="Calibri" w:cs="Calibri"/>
          <w:sz w:val="24"/>
          <w:szCs w:val="24"/>
        </w:rPr>
        <w:t>l</w:t>
      </w:r>
      <w:r w:rsidRPr="006A4971">
        <w:rPr>
          <w:rFonts w:ascii="Calibri" w:hAnsi="Calibri" w:cs="Calibri"/>
          <w:sz w:val="24"/>
          <w:szCs w:val="24"/>
        </w:rPr>
        <w:t xml:space="preserve">ifetime </w:t>
      </w:r>
      <w:r>
        <w:rPr>
          <w:rFonts w:ascii="Calibri" w:hAnsi="Calibri" w:cs="Calibri"/>
          <w:sz w:val="24"/>
          <w:szCs w:val="24"/>
        </w:rPr>
        <w:t>m</w:t>
      </w:r>
      <w:r w:rsidRPr="006A4971">
        <w:rPr>
          <w:rFonts w:ascii="Calibri" w:hAnsi="Calibri" w:cs="Calibri"/>
          <w:sz w:val="24"/>
          <w:szCs w:val="24"/>
        </w:rPr>
        <w:t>isuse,</w:t>
      </w:r>
      <w:r w:rsidR="00EA2B6E">
        <w:rPr>
          <w:rFonts w:ascii="Calibri" w:hAnsi="Calibri" w:cs="Calibri"/>
          <w:sz w:val="24"/>
          <w:szCs w:val="24"/>
        </w:rPr>
        <w:t xml:space="preserve"> Bryan County’s 10</w:t>
      </w:r>
      <w:r w:rsidR="00EA2B6E" w:rsidRPr="00EA2B6E">
        <w:rPr>
          <w:rFonts w:ascii="Calibri" w:hAnsi="Calibri" w:cs="Calibri"/>
          <w:sz w:val="24"/>
          <w:szCs w:val="24"/>
          <w:vertAlign w:val="superscript"/>
        </w:rPr>
        <w:t>th</w:t>
      </w:r>
      <w:r w:rsidR="00EA2B6E">
        <w:rPr>
          <w:rFonts w:ascii="Calibri" w:hAnsi="Calibri" w:cs="Calibri"/>
          <w:sz w:val="24"/>
          <w:szCs w:val="24"/>
        </w:rPr>
        <w:t xml:space="preserve"> grade students</w:t>
      </w:r>
      <w:r w:rsidRPr="006A4971">
        <w:rPr>
          <w:rFonts w:ascii="Calibri" w:hAnsi="Calibri" w:cs="Calibri"/>
          <w:sz w:val="24"/>
          <w:szCs w:val="24"/>
        </w:rPr>
        <w:t xml:space="preserve"> </w:t>
      </w:r>
      <w:r w:rsidR="00EA2B6E">
        <w:rPr>
          <w:rFonts w:ascii="Calibri" w:hAnsi="Calibri" w:cs="Calibri"/>
          <w:sz w:val="24"/>
          <w:szCs w:val="24"/>
        </w:rPr>
        <w:t>reported a higher rate than the state (18.2).  Carter County 8</w:t>
      </w:r>
      <w:r w:rsidR="00EA2B6E" w:rsidRPr="00EA2B6E">
        <w:rPr>
          <w:rFonts w:ascii="Calibri" w:hAnsi="Calibri" w:cs="Calibri"/>
          <w:sz w:val="24"/>
          <w:szCs w:val="24"/>
          <w:vertAlign w:val="superscript"/>
        </w:rPr>
        <w:t>th</w:t>
      </w:r>
      <w:r w:rsidR="00EA2B6E">
        <w:rPr>
          <w:rFonts w:ascii="Calibri" w:hAnsi="Calibri" w:cs="Calibri"/>
          <w:sz w:val="24"/>
          <w:szCs w:val="24"/>
        </w:rPr>
        <w:t xml:space="preserve"> grade students (10.8), 10</w:t>
      </w:r>
      <w:r w:rsidR="00EA2B6E" w:rsidRPr="00EA2B6E">
        <w:rPr>
          <w:rFonts w:ascii="Calibri" w:hAnsi="Calibri" w:cs="Calibri"/>
          <w:sz w:val="24"/>
          <w:szCs w:val="24"/>
          <w:vertAlign w:val="superscript"/>
        </w:rPr>
        <w:t>th</w:t>
      </w:r>
      <w:r w:rsidR="00EA2B6E">
        <w:rPr>
          <w:rFonts w:ascii="Calibri" w:hAnsi="Calibri" w:cs="Calibri"/>
          <w:sz w:val="24"/>
          <w:szCs w:val="24"/>
        </w:rPr>
        <w:t xml:space="preserve"> grade students (14.9) and 12</w:t>
      </w:r>
      <w:r w:rsidR="00EA2B6E" w:rsidRPr="00EA2B6E">
        <w:rPr>
          <w:rFonts w:ascii="Calibri" w:hAnsi="Calibri" w:cs="Calibri"/>
          <w:sz w:val="24"/>
          <w:szCs w:val="24"/>
          <w:vertAlign w:val="superscript"/>
        </w:rPr>
        <w:t>th</w:t>
      </w:r>
      <w:r w:rsidR="00EA2B6E">
        <w:rPr>
          <w:rFonts w:ascii="Calibri" w:hAnsi="Calibri" w:cs="Calibri"/>
          <w:sz w:val="24"/>
          <w:szCs w:val="24"/>
        </w:rPr>
        <w:t xml:space="preserve"> grade students (18.0) </w:t>
      </w:r>
      <w:r w:rsidRPr="006A4971">
        <w:rPr>
          <w:rFonts w:ascii="Calibri" w:hAnsi="Calibri" w:cs="Calibri"/>
          <w:sz w:val="24"/>
          <w:szCs w:val="24"/>
        </w:rPr>
        <w:t xml:space="preserve">also reported notably higher rates than the state rates for </w:t>
      </w:r>
      <w:r w:rsidR="00EA2B6E">
        <w:rPr>
          <w:rFonts w:ascii="Calibri" w:hAnsi="Calibri" w:cs="Calibri"/>
          <w:sz w:val="24"/>
          <w:szCs w:val="24"/>
        </w:rPr>
        <w:t>8</w:t>
      </w:r>
      <w:r w:rsidR="00EA2B6E" w:rsidRPr="00EA2B6E">
        <w:rPr>
          <w:rFonts w:ascii="Calibri" w:hAnsi="Calibri" w:cs="Calibri"/>
          <w:sz w:val="24"/>
          <w:szCs w:val="24"/>
          <w:vertAlign w:val="superscript"/>
        </w:rPr>
        <w:t>th</w:t>
      </w:r>
      <w:r w:rsidR="00EA2B6E">
        <w:rPr>
          <w:rFonts w:ascii="Calibri" w:hAnsi="Calibri" w:cs="Calibri"/>
          <w:sz w:val="24"/>
          <w:szCs w:val="24"/>
        </w:rPr>
        <w:t xml:space="preserve"> (9.4), </w:t>
      </w:r>
      <w:r w:rsidRPr="006A4971">
        <w:rPr>
          <w:rFonts w:ascii="Calibri" w:hAnsi="Calibri" w:cs="Calibri"/>
          <w:sz w:val="24"/>
          <w:szCs w:val="24"/>
        </w:rPr>
        <w:t>10</w:t>
      </w:r>
      <w:r w:rsidRPr="006A4971">
        <w:rPr>
          <w:rFonts w:ascii="Calibri" w:hAnsi="Calibri" w:cs="Calibri"/>
          <w:sz w:val="24"/>
          <w:szCs w:val="24"/>
          <w:vertAlign w:val="superscript"/>
        </w:rPr>
        <w:t>th</w:t>
      </w:r>
      <w:r w:rsidR="00EA2B6E">
        <w:rPr>
          <w:rFonts w:ascii="Calibri" w:hAnsi="Calibri" w:cs="Calibri"/>
          <w:sz w:val="24"/>
          <w:szCs w:val="24"/>
        </w:rPr>
        <w:t xml:space="preserve"> (14.0</w:t>
      </w:r>
      <w:r w:rsidRPr="006A4971">
        <w:rPr>
          <w:rFonts w:ascii="Calibri" w:hAnsi="Calibri" w:cs="Calibri"/>
          <w:sz w:val="24"/>
          <w:szCs w:val="24"/>
        </w:rPr>
        <w:t>) and 12</w:t>
      </w:r>
      <w:r w:rsidRPr="006A4971">
        <w:rPr>
          <w:rFonts w:ascii="Calibri" w:hAnsi="Calibri" w:cs="Calibri"/>
          <w:sz w:val="24"/>
          <w:szCs w:val="24"/>
          <w:vertAlign w:val="superscript"/>
        </w:rPr>
        <w:t>th</w:t>
      </w:r>
      <w:r w:rsidR="00EA2B6E">
        <w:rPr>
          <w:rFonts w:ascii="Calibri" w:hAnsi="Calibri" w:cs="Calibri"/>
          <w:sz w:val="24"/>
          <w:szCs w:val="24"/>
        </w:rPr>
        <w:t xml:space="preserve"> (17.7</w:t>
      </w:r>
      <w:r w:rsidRPr="006A4971">
        <w:rPr>
          <w:rFonts w:ascii="Calibri" w:hAnsi="Calibri" w:cs="Calibri"/>
          <w:sz w:val="24"/>
          <w:szCs w:val="24"/>
        </w:rPr>
        <w:t>) grades, respectively.</w:t>
      </w:r>
    </w:p>
    <w:p w:rsidR="001B70B4" w:rsidRDefault="001B70B4" w:rsidP="001B70B4">
      <w:pPr>
        <w:rPr>
          <w:rFonts w:cstheme="minorHAnsi"/>
          <w:b/>
          <w:sz w:val="24"/>
          <w:szCs w:val="24"/>
        </w:rPr>
      </w:pPr>
    </w:p>
    <w:p w:rsidR="00AF3CE3" w:rsidRDefault="00AF3CE3" w:rsidP="00AF3CE3">
      <w:pPr>
        <w:jc w:val="center"/>
        <w:rPr>
          <w:rFonts w:cstheme="minorHAnsi"/>
          <w:b/>
          <w:sz w:val="24"/>
          <w:szCs w:val="24"/>
        </w:rPr>
      </w:pPr>
      <w:r>
        <w:rPr>
          <w:rFonts w:cstheme="minorHAnsi"/>
          <w:b/>
          <w:sz w:val="24"/>
          <w:szCs w:val="24"/>
        </w:rPr>
        <w:t>Table 8: Illicit Drugs</w:t>
      </w:r>
    </w:p>
    <w:tbl>
      <w:tblPr>
        <w:tblStyle w:val="TableGrid3"/>
        <w:tblpPr w:leftFromText="180" w:rightFromText="180" w:vertAnchor="text" w:horzAnchor="margin" w:tblpXSpec="center" w:tblpY="421"/>
        <w:tblW w:w="0" w:type="auto"/>
        <w:tblLook w:val="04A0" w:firstRow="1" w:lastRow="0" w:firstColumn="1" w:lastColumn="0" w:noHBand="0" w:noVBand="1"/>
      </w:tblPr>
      <w:tblGrid>
        <w:gridCol w:w="1098"/>
        <w:gridCol w:w="1190"/>
        <w:gridCol w:w="875"/>
        <w:gridCol w:w="925"/>
        <w:gridCol w:w="925"/>
        <w:gridCol w:w="1190"/>
        <w:gridCol w:w="839"/>
        <w:gridCol w:w="924"/>
        <w:gridCol w:w="924"/>
      </w:tblGrid>
      <w:tr w:rsidR="00594B85" w:rsidTr="0081353E">
        <w:tc>
          <w:tcPr>
            <w:tcW w:w="8890" w:type="dxa"/>
            <w:gridSpan w:val="9"/>
            <w:tcBorders>
              <w:top w:val="single" w:sz="4" w:space="0" w:color="auto"/>
              <w:left w:val="single" w:sz="4" w:space="0" w:color="auto"/>
              <w:bottom w:val="single" w:sz="4" w:space="0" w:color="auto"/>
              <w:right w:val="single" w:sz="4" w:space="0" w:color="auto"/>
            </w:tcBorders>
          </w:tcPr>
          <w:p w:rsidR="00594B85" w:rsidRDefault="00594B85" w:rsidP="006B39E3">
            <w:pPr>
              <w:jc w:val="center"/>
              <w:rPr>
                <w:rFonts w:cstheme="minorHAnsi"/>
                <w:b/>
                <w:sz w:val="24"/>
                <w:szCs w:val="24"/>
              </w:rPr>
            </w:pPr>
            <w:r>
              <w:rPr>
                <w:rFonts w:cstheme="minorHAnsi"/>
                <w:b/>
                <w:sz w:val="24"/>
                <w:szCs w:val="24"/>
              </w:rPr>
              <w:t>ODMHSAS Illicit Drug Treatment Admissions Ages 12-17</w:t>
            </w:r>
          </w:p>
        </w:tc>
      </w:tr>
      <w:tr w:rsidR="006B39E3" w:rsidTr="0081353E">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6B39E3" w:rsidRPr="006B39E3" w:rsidRDefault="006B39E3" w:rsidP="006B39E3">
            <w:pPr>
              <w:jc w:val="center"/>
              <w:rPr>
                <w:rFonts w:cstheme="minorHAnsi"/>
              </w:rPr>
            </w:pPr>
          </w:p>
        </w:tc>
        <w:tc>
          <w:tcPr>
            <w:tcW w:w="3915" w:type="dxa"/>
            <w:gridSpan w:val="4"/>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b/>
              </w:rPr>
            </w:pPr>
            <w:r w:rsidRPr="006B39E3">
              <w:rPr>
                <w:rFonts w:cstheme="minorHAnsi"/>
                <w:b/>
              </w:rPr>
              <w:t>FY2016</w:t>
            </w:r>
          </w:p>
        </w:tc>
        <w:tc>
          <w:tcPr>
            <w:tcW w:w="3877" w:type="dxa"/>
            <w:gridSpan w:val="4"/>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b/>
              </w:rPr>
            </w:pPr>
            <w:r w:rsidRPr="006B39E3">
              <w:rPr>
                <w:rFonts w:cstheme="minorHAnsi"/>
                <w:b/>
              </w:rPr>
              <w:t>FY2017</w:t>
            </w:r>
          </w:p>
        </w:tc>
      </w:tr>
      <w:tr w:rsidR="006B39E3" w:rsidTr="0081353E">
        <w:tc>
          <w:tcPr>
            <w:tcW w:w="1098" w:type="dxa"/>
            <w:vMerge/>
            <w:tcBorders>
              <w:top w:val="single" w:sz="4" w:space="0" w:color="auto"/>
              <w:left w:val="single" w:sz="4" w:space="0" w:color="auto"/>
              <w:bottom w:val="single" w:sz="4" w:space="0" w:color="auto"/>
              <w:right w:val="single" w:sz="4" w:space="0" w:color="auto"/>
            </w:tcBorders>
            <w:vAlign w:val="center"/>
            <w:hideMark/>
          </w:tcPr>
          <w:p w:rsidR="006B39E3" w:rsidRPr="006B39E3" w:rsidRDefault="006B39E3" w:rsidP="006B39E3">
            <w:pPr>
              <w:rPr>
                <w:rFonts w:cstheme="minorHAnsi"/>
              </w:rPr>
            </w:pPr>
          </w:p>
        </w:tc>
        <w:tc>
          <w:tcPr>
            <w:tcW w:w="1190" w:type="dxa"/>
            <w:tcBorders>
              <w:top w:val="single" w:sz="4" w:space="0" w:color="auto"/>
              <w:left w:val="single" w:sz="4" w:space="0" w:color="auto"/>
              <w:bottom w:val="single" w:sz="4" w:space="0" w:color="auto"/>
              <w:right w:val="single" w:sz="4" w:space="0" w:color="auto"/>
            </w:tcBorders>
            <w:hideMark/>
          </w:tcPr>
          <w:p w:rsidR="006B39E3" w:rsidRPr="006B39E3" w:rsidRDefault="006B39E3" w:rsidP="006B39E3">
            <w:pPr>
              <w:jc w:val="center"/>
              <w:rPr>
                <w:rFonts w:cstheme="minorHAnsi"/>
              </w:rPr>
            </w:pPr>
            <w:r w:rsidRPr="006B39E3">
              <w:rPr>
                <w:rFonts w:cstheme="minorHAnsi"/>
              </w:rPr>
              <w:t>Marijuana</w:t>
            </w:r>
          </w:p>
        </w:tc>
        <w:tc>
          <w:tcPr>
            <w:tcW w:w="875" w:type="dxa"/>
            <w:tcBorders>
              <w:top w:val="single" w:sz="4" w:space="0" w:color="auto"/>
              <w:left w:val="single" w:sz="4" w:space="0" w:color="auto"/>
              <w:bottom w:val="single" w:sz="4" w:space="0" w:color="auto"/>
              <w:right w:val="single" w:sz="4" w:space="0" w:color="auto"/>
            </w:tcBorders>
            <w:hideMark/>
          </w:tcPr>
          <w:p w:rsidR="006B39E3" w:rsidRPr="006B39E3" w:rsidRDefault="006B39E3" w:rsidP="006B39E3">
            <w:pPr>
              <w:jc w:val="center"/>
              <w:rPr>
                <w:rFonts w:cstheme="minorHAnsi"/>
              </w:rPr>
            </w:pPr>
            <w:r w:rsidRPr="006B39E3">
              <w:rPr>
                <w:rFonts w:cstheme="minorHAnsi"/>
              </w:rPr>
              <w:t>Meth</w:t>
            </w:r>
          </w:p>
        </w:tc>
        <w:tc>
          <w:tcPr>
            <w:tcW w:w="925"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Pr>
                <w:rFonts w:cstheme="minorHAnsi"/>
              </w:rPr>
              <w:t>Heroin</w:t>
            </w:r>
          </w:p>
        </w:tc>
        <w:tc>
          <w:tcPr>
            <w:tcW w:w="925"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sidRPr="006B39E3">
              <w:rPr>
                <w:rFonts w:cstheme="minorHAnsi"/>
              </w:rPr>
              <w:t>Cocaine</w:t>
            </w:r>
          </w:p>
        </w:tc>
        <w:tc>
          <w:tcPr>
            <w:tcW w:w="1190" w:type="dxa"/>
            <w:tcBorders>
              <w:top w:val="single" w:sz="4" w:space="0" w:color="auto"/>
              <w:left w:val="single" w:sz="4" w:space="0" w:color="auto"/>
              <w:bottom w:val="single" w:sz="4" w:space="0" w:color="auto"/>
              <w:right w:val="single" w:sz="4" w:space="0" w:color="auto"/>
            </w:tcBorders>
            <w:hideMark/>
          </w:tcPr>
          <w:p w:rsidR="006B39E3" w:rsidRPr="006B39E3" w:rsidRDefault="006B39E3" w:rsidP="006B39E3">
            <w:pPr>
              <w:jc w:val="center"/>
              <w:rPr>
                <w:rFonts w:cstheme="minorHAnsi"/>
              </w:rPr>
            </w:pPr>
            <w:r w:rsidRPr="006B39E3">
              <w:rPr>
                <w:rFonts w:cstheme="minorHAnsi"/>
              </w:rPr>
              <w:t>Marijuana</w:t>
            </w:r>
          </w:p>
        </w:tc>
        <w:tc>
          <w:tcPr>
            <w:tcW w:w="839" w:type="dxa"/>
            <w:tcBorders>
              <w:top w:val="single" w:sz="4" w:space="0" w:color="auto"/>
              <w:left w:val="single" w:sz="4" w:space="0" w:color="auto"/>
              <w:bottom w:val="single" w:sz="4" w:space="0" w:color="auto"/>
              <w:right w:val="single" w:sz="4" w:space="0" w:color="auto"/>
            </w:tcBorders>
            <w:hideMark/>
          </w:tcPr>
          <w:p w:rsidR="006B39E3" w:rsidRPr="006B39E3" w:rsidRDefault="006B39E3" w:rsidP="006B39E3">
            <w:pPr>
              <w:jc w:val="center"/>
              <w:rPr>
                <w:rFonts w:cstheme="minorHAnsi"/>
              </w:rPr>
            </w:pPr>
            <w:r w:rsidRPr="006B39E3">
              <w:rPr>
                <w:rFonts w:cstheme="minorHAnsi"/>
              </w:rPr>
              <w:t>Meth</w:t>
            </w:r>
          </w:p>
        </w:tc>
        <w:tc>
          <w:tcPr>
            <w:tcW w:w="924"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Pr>
                <w:rFonts w:cstheme="minorHAnsi"/>
              </w:rPr>
              <w:t>Heroin</w:t>
            </w:r>
          </w:p>
        </w:tc>
        <w:tc>
          <w:tcPr>
            <w:tcW w:w="924"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sidRPr="006B39E3">
              <w:rPr>
                <w:rFonts w:cstheme="minorHAnsi"/>
              </w:rPr>
              <w:t>Cocaine</w:t>
            </w:r>
          </w:p>
        </w:tc>
      </w:tr>
      <w:tr w:rsidR="006B39E3" w:rsidTr="0081353E">
        <w:tc>
          <w:tcPr>
            <w:tcW w:w="1098"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rPr>
                <w:rFonts w:cstheme="minorHAnsi"/>
              </w:rPr>
            </w:pPr>
            <w:r w:rsidRPr="006B39E3">
              <w:rPr>
                <w:rFonts w:cstheme="minorHAnsi"/>
              </w:rPr>
              <w:t>OK</w:t>
            </w:r>
          </w:p>
        </w:tc>
        <w:tc>
          <w:tcPr>
            <w:tcW w:w="1190" w:type="dxa"/>
            <w:tcBorders>
              <w:top w:val="single" w:sz="4" w:space="0" w:color="auto"/>
              <w:left w:val="single" w:sz="4" w:space="0" w:color="auto"/>
              <w:bottom w:val="single" w:sz="4" w:space="0" w:color="auto"/>
              <w:right w:val="single" w:sz="4" w:space="0" w:color="auto"/>
            </w:tcBorders>
            <w:hideMark/>
          </w:tcPr>
          <w:p w:rsidR="006B39E3" w:rsidRPr="006B39E3" w:rsidRDefault="00594B85" w:rsidP="006B39E3">
            <w:pPr>
              <w:jc w:val="center"/>
              <w:rPr>
                <w:rFonts w:cstheme="minorHAnsi"/>
              </w:rPr>
            </w:pPr>
            <w:r>
              <w:rPr>
                <w:rFonts w:cstheme="minorHAnsi"/>
              </w:rPr>
              <w:t>821</w:t>
            </w:r>
          </w:p>
        </w:tc>
        <w:tc>
          <w:tcPr>
            <w:tcW w:w="875" w:type="dxa"/>
            <w:tcBorders>
              <w:top w:val="single" w:sz="4" w:space="0" w:color="auto"/>
              <w:left w:val="single" w:sz="4" w:space="0" w:color="auto"/>
              <w:bottom w:val="single" w:sz="4" w:space="0" w:color="auto"/>
              <w:right w:val="single" w:sz="4" w:space="0" w:color="auto"/>
            </w:tcBorders>
            <w:hideMark/>
          </w:tcPr>
          <w:p w:rsidR="006B39E3" w:rsidRPr="006B39E3" w:rsidRDefault="00594B85" w:rsidP="006B39E3">
            <w:pPr>
              <w:jc w:val="center"/>
              <w:rPr>
                <w:rFonts w:cstheme="minorHAnsi"/>
              </w:rPr>
            </w:pPr>
            <w:r>
              <w:rPr>
                <w:rFonts w:cstheme="minorHAnsi"/>
              </w:rPr>
              <w:t>184</w:t>
            </w:r>
          </w:p>
        </w:tc>
        <w:tc>
          <w:tcPr>
            <w:tcW w:w="925"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rPr>
            </w:pPr>
            <w:r>
              <w:rPr>
                <w:rFonts w:cstheme="minorHAnsi"/>
              </w:rPr>
              <w:t>10</w:t>
            </w:r>
          </w:p>
        </w:tc>
        <w:tc>
          <w:tcPr>
            <w:tcW w:w="925"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rPr>
            </w:pPr>
            <w:r>
              <w:rPr>
                <w:rFonts w:cstheme="minorHAnsi"/>
              </w:rPr>
              <w:t>30</w:t>
            </w:r>
          </w:p>
        </w:tc>
        <w:tc>
          <w:tcPr>
            <w:tcW w:w="1190" w:type="dxa"/>
            <w:tcBorders>
              <w:top w:val="single" w:sz="4" w:space="0" w:color="auto"/>
              <w:left w:val="single" w:sz="4" w:space="0" w:color="auto"/>
              <w:bottom w:val="single" w:sz="4" w:space="0" w:color="auto"/>
              <w:right w:val="single" w:sz="4" w:space="0" w:color="auto"/>
            </w:tcBorders>
            <w:hideMark/>
          </w:tcPr>
          <w:p w:rsidR="006B39E3" w:rsidRPr="006B39E3" w:rsidRDefault="00594B85" w:rsidP="006B39E3">
            <w:pPr>
              <w:jc w:val="center"/>
              <w:rPr>
                <w:rFonts w:cstheme="minorHAnsi"/>
              </w:rPr>
            </w:pPr>
            <w:r>
              <w:rPr>
                <w:rFonts w:cstheme="minorHAnsi"/>
              </w:rPr>
              <w:t>703</w:t>
            </w:r>
          </w:p>
        </w:tc>
        <w:tc>
          <w:tcPr>
            <w:tcW w:w="839" w:type="dxa"/>
            <w:tcBorders>
              <w:top w:val="single" w:sz="4" w:space="0" w:color="auto"/>
              <w:left w:val="single" w:sz="4" w:space="0" w:color="auto"/>
              <w:bottom w:val="single" w:sz="4" w:space="0" w:color="auto"/>
              <w:right w:val="single" w:sz="4" w:space="0" w:color="auto"/>
            </w:tcBorders>
            <w:hideMark/>
          </w:tcPr>
          <w:p w:rsidR="006B39E3" w:rsidRPr="006B39E3" w:rsidRDefault="00594B85" w:rsidP="006B39E3">
            <w:pPr>
              <w:jc w:val="center"/>
              <w:rPr>
                <w:rFonts w:cstheme="minorHAnsi"/>
              </w:rPr>
            </w:pPr>
            <w:r>
              <w:rPr>
                <w:rFonts w:cstheme="minorHAnsi"/>
              </w:rPr>
              <w:t>161</w:t>
            </w:r>
          </w:p>
        </w:tc>
        <w:tc>
          <w:tcPr>
            <w:tcW w:w="924"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rPr>
            </w:pPr>
            <w:r>
              <w:rPr>
                <w:rFonts w:cstheme="minorHAnsi"/>
              </w:rPr>
              <w:t>12</w:t>
            </w:r>
          </w:p>
        </w:tc>
        <w:tc>
          <w:tcPr>
            <w:tcW w:w="924"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rPr>
            </w:pPr>
            <w:r>
              <w:rPr>
                <w:rFonts w:cstheme="minorHAnsi"/>
              </w:rPr>
              <w:t>21</w:t>
            </w:r>
          </w:p>
        </w:tc>
      </w:tr>
      <w:tr w:rsidR="006B39E3" w:rsidTr="0081353E">
        <w:tc>
          <w:tcPr>
            <w:tcW w:w="1098"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rPr>
                <w:rFonts w:cstheme="minorHAnsi"/>
              </w:rPr>
            </w:pPr>
            <w:r w:rsidRPr="006B39E3">
              <w:rPr>
                <w:rFonts w:cstheme="minorHAnsi"/>
              </w:rPr>
              <w:t>Bryan</w:t>
            </w:r>
          </w:p>
        </w:tc>
        <w:tc>
          <w:tcPr>
            <w:tcW w:w="1190" w:type="dxa"/>
            <w:tcBorders>
              <w:top w:val="single" w:sz="4" w:space="0" w:color="auto"/>
              <w:left w:val="single" w:sz="4" w:space="0" w:color="auto"/>
              <w:bottom w:val="single" w:sz="4" w:space="0" w:color="auto"/>
              <w:right w:val="single" w:sz="4" w:space="0" w:color="auto"/>
            </w:tcBorders>
            <w:hideMark/>
          </w:tcPr>
          <w:p w:rsidR="006B39E3" w:rsidRPr="006B39E3" w:rsidRDefault="006B39E3" w:rsidP="006B39E3">
            <w:pPr>
              <w:jc w:val="center"/>
              <w:rPr>
                <w:rFonts w:cstheme="minorHAnsi"/>
              </w:rPr>
            </w:pPr>
            <w:r>
              <w:rPr>
                <w:rFonts w:cstheme="minorHAnsi"/>
              </w:rPr>
              <w:t>6</w:t>
            </w:r>
          </w:p>
        </w:tc>
        <w:tc>
          <w:tcPr>
            <w:tcW w:w="875" w:type="dxa"/>
            <w:tcBorders>
              <w:top w:val="single" w:sz="4" w:space="0" w:color="auto"/>
              <w:left w:val="single" w:sz="4" w:space="0" w:color="auto"/>
              <w:bottom w:val="single" w:sz="4" w:space="0" w:color="auto"/>
              <w:right w:val="single" w:sz="4" w:space="0" w:color="auto"/>
            </w:tcBorders>
            <w:hideMark/>
          </w:tcPr>
          <w:p w:rsidR="006B39E3" w:rsidRPr="006B39E3" w:rsidRDefault="006B39E3" w:rsidP="006B39E3">
            <w:pPr>
              <w:jc w:val="center"/>
              <w:rPr>
                <w:rFonts w:cstheme="minorHAnsi"/>
              </w:rPr>
            </w:pPr>
            <w:r>
              <w:rPr>
                <w:rFonts w:cstheme="minorHAnsi"/>
              </w:rPr>
              <w:t>1</w:t>
            </w:r>
          </w:p>
        </w:tc>
        <w:tc>
          <w:tcPr>
            <w:tcW w:w="925"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rPr>
            </w:pPr>
            <w:r>
              <w:rPr>
                <w:rFonts w:cstheme="minorHAnsi"/>
              </w:rPr>
              <w:t>0</w:t>
            </w:r>
          </w:p>
        </w:tc>
        <w:tc>
          <w:tcPr>
            <w:tcW w:w="925"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rPr>
            </w:pPr>
            <w:r>
              <w:rPr>
                <w:rFonts w:cstheme="minorHAnsi"/>
              </w:rPr>
              <w:t>0</w:t>
            </w:r>
          </w:p>
        </w:tc>
        <w:tc>
          <w:tcPr>
            <w:tcW w:w="1190" w:type="dxa"/>
            <w:tcBorders>
              <w:top w:val="single" w:sz="4" w:space="0" w:color="auto"/>
              <w:left w:val="single" w:sz="4" w:space="0" w:color="auto"/>
              <w:bottom w:val="single" w:sz="4" w:space="0" w:color="auto"/>
              <w:right w:val="single" w:sz="4" w:space="0" w:color="auto"/>
            </w:tcBorders>
            <w:hideMark/>
          </w:tcPr>
          <w:p w:rsidR="006B39E3" w:rsidRPr="006B39E3" w:rsidRDefault="006B39E3" w:rsidP="006B39E3">
            <w:pPr>
              <w:jc w:val="center"/>
              <w:rPr>
                <w:rFonts w:cstheme="minorHAnsi"/>
              </w:rPr>
            </w:pPr>
            <w:r>
              <w:rPr>
                <w:rFonts w:cstheme="minorHAnsi"/>
              </w:rPr>
              <w:t>9</w:t>
            </w:r>
          </w:p>
        </w:tc>
        <w:tc>
          <w:tcPr>
            <w:tcW w:w="839" w:type="dxa"/>
            <w:tcBorders>
              <w:top w:val="single" w:sz="4" w:space="0" w:color="auto"/>
              <w:left w:val="single" w:sz="4" w:space="0" w:color="auto"/>
              <w:bottom w:val="single" w:sz="4" w:space="0" w:color="auto"/>
              <w:right w:val="single" w:sz="4" w:space="0" w:color="auto"/>
            </w:tcBorders>
            <w:hideMark/>
          </w:tcPr>
          <w:p w:rsidR="006B39E3" w:rsidRPr="006B39E3" w:rsidRDefault="006B39E3" w:rsidP="006B39E3">
            <w:pPr>
              <w:jc w:val="center"/>
              <w:rPr>
                <w:rFonts w:cstheme="minorHAnsi"/>
              </w:rPr>
            </w:pPr>
            <w:r w:rsidRPr="006B39E3">
              <w:rPr>
                <w:rFonts w:cstheme="minorHAnsi"/>
              </w:rPr>
              <w:t>2</w:t>
            </w:r>
          </w:p>
        </w:tc>
        <w:tc>
          <w:tcPr>
            <w:tcW w:w="924"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rPr>
            </w:pPr>
            <w:r>
              <w:rPr>
                <w:rFonts w:cstheme="minorHAnsi"/>
              </w:rPr>
              <w:t>0</w:t>
            </w:r>
          </w:p>
        </w:tc>
        <w:tc>
          <w:tcPr>
            <w:tcW w:w="924"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rPr>
            </w:pPr>
            <w:r>
              <w:rPr>
                <w:rFonts w:cstheme="minorHAnsi"/>
              </w:rPr>
              <w:t>0</w:t>
            </w:r>
          </w:p>
        </w:tc>
      </w:tr>
      <w:tr w:rsidR="006B39E3" w:rsidTr="0081353E">
        <w:tc>
          <w:tcPr>
            <w:tcW w:w="1098"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rPr>
                <w:rFonts w:cstheme="minorHAnsi"/>
              </w:rPr>
            </w:pPr>
            <w:r w:rsidRPr="006B39E3">
              <w:rPr>
                <w:rFonts w:cstheme="minorHAnsi"/>
              </w:rPr>
              <w:t>Carter</w:t>
            </w:r>
          </w:p>
        </w:tc>
        <w:tc>
          <w:tcPr>
            <w:tcW w:w="1190" w:type="dxa"/>
            <w:tcBorders>
              <w:top w:val="single" w:sz="4" w:space="0" w:color="auto"/>
              <w:left w:val="single" w:sz="4" w:space="0" w:color="auto"/>
              <w:bottom w:val="single" w:sz="4" w:space="0" w:color="auto"/>
              <w:right w:val="single" w:sz="4" w:space="0" w:color="auto"/>
            </w:tcBorders>
            <w:hideMark/>
          </w:tcPr>
          <w:p w:rsidR="006B39E3" w:rsidRPr="006B39E3" w:rsidRDefault="006B39E3" w:rsidP="006B39E3">
            <w:pPr>
              <w:jc w:val="center"/>
              <w:rPr>
                <w:rFonts w:cstheme="minorHAnsi"/>
              </w:rPr>
            </w:pPr>
            <w:r>
              <w:rPr>
                <w:rFonts w:cstheme="minorHAnsi"/>
              </w:rPr>
              <w:t>9</w:t>
            </w:r>
          </w:p>
        </w:tc>
        <w:tc>
          <w:tcPr>
            <w:tcW w:w="875" w:type="dxa"/>
            <w:tcBorders>
              <w:top w:val="single" w:sz="4" w:space="0" w:color="auto"/>
              <w:left w:val="single" w:sz="4" w:space="0" w:color="auto"/>
              <w:bottom w:val="single" w:sz="4" w:space="0" w:color="auto"/>
              <w:right w:val="single" w:sz="4" w:space="0" w:color="auto"/>
            </w:tcBorders>
            <w:hideMark/>
          </w:tcPr>
          <w:p w:rsidR="006B39E3" w:rsidRPr="006B39E3" w:rsidRDefault="006B39E3" w:rsidP="006B39E3">
            <w:pPr>
              <w:jc w:val="center"/>
              <w:rPr>
                <w:rFonts w:cstheme="minorHAnsi"/>
              </w:rPr>
            </w:pPr>
            <w:r>
              <w:rPr>
                <w:rFonts w:cstheme="minorHAnsi"/>
              </w:rPr>
              <w:t>3</w:t>
            </w:r>
          </w:p>
        </w:tc>
        <w:tc>
          <w:tcPr>
            <w:tcW w:w="925" w:type="dxa"/>
            <w:tcBorders>
              <w:top w:val="single" w:sz="4" w:space="0" w:color="auto"/>
              <w:left w:val="single" w:sz="4" w:space="0" w:color="auto"/>
              <w:bottom w:val="single" w:sz="4" w:space="0" w:color="auto"/>
              <w:right w:val="single" w:sz="4" w:space="0" w:color="auto"/>
            </w:tcBorders>
          </w:tcPr>
          <w:p w:rsidR="006B39E3" w:rsidRDefault="00594B85" w:rsidP="006B39E3">
            <w:pPr>
              <w:jc w:val="center"/>
              <w:rPr>
                <w:rFonts w:cstheme="minorHAnsi"/>
              </w:rPr>
            </w:pPr>
            <w:r>
              <w:rPr>
                <w:rFonts w:cstheme="minorHAnsi"/>
              </w:rPr>
              <w:t>0</w:t>
            </w:r>
          </w:p>
        </w:tc>
        <w:tc>
          <w:tcPr>
            <w:tcW w:w="925"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Pr>
                <w:rFonts w:cstheme="minorHAnsi"/>
              </w:rPr>
              <w:t>1</w:t>
            </w:r>
          </w:p>
        </w:tc>
        <w:tc>
          <w:tcPr>
            <w:tcW w:w="1190" w:type="dxa"/>
            <w:tcBorders>
              <w:top w:val="single" w:sz="4" w:space="0" w:color="auto"/>
              <w:left w:val="single" w:sz="4" w:space="0" w:color="auto"/>
              <w:bottom w:val="single" w:sz="4" w:space="0" w:color="auto"/>
              <w:right w:val="single" w:sz="4" w:space="0" w:color="auto"/>
            </w:tcBorders>
            <w:hideMark/>
          </w:tcPr>
          <w:p w:rsidR="006B39E3" w:rsidRPr="006B39E3" w:rsidRDefault="006B39E3" w:rsidP="006B39E3">
            <w:pPr>
              <w:jc w:val="center"/>
              <w:rPr>
                <w:rFonts w:cstheme="minorHAnsi"/>
              </w:rPr>
            </w:pPr>
            <w:r>
              <w:rPr>
                <w:rFonts w:cstheme="minorHAnsi"/>
              </w:rPr>
              <w:t>3</w:t>
            </w:r>
          </w:p>
        </w:tc>
        <w:tc>
          <w:tcPr>
            <w:tcW w:w="839" w:type="dxa"/>
            <w:tcBorders>
              <w:top w:val="single" w:sz="4" w:space="0" w:color="auto"/>
              <w:left w:val="single" w:sz="4" w:space="0" w:color="auto"/>
              <w:bottom w:val="single" w:sz="4" w:space="0" w:color="auto"/>
              <w:right w:val="single" w:sz="4" w:space="0" w:color="auto"/>
            </w:tcBorders>
            <w:hideMark/>
          </w:tcPr>
          <w:p w:rsidR="006B39E3" w:rsidRPr="006B39E3" w:rsidRDefault="006B39E3" w:rsidP="006B39E3">
            <w:pPr>
              <w:jc w:val="center"/>
              <w:rPr>
                <w:rFonts w:cstheme="minorHAnsi"/>
              </w:rPr>
            </w:pPr>
            <w:r>
              <w:rPr>
                <w:rFonts w:cstheme="minorHAnsi"/>
              </w:rPr>
              <w:t>2</w:t>
            </w:r>
          </w:p>
        </w:tc>
        <w:tc>
          <w:tcPr>
            <w:tcW w:w="924"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rPr>
            </w:pPr>
            <w:r>
              <w:rPr>
                <w:rFonts w:cstheme="minorHAnsi"/>
              </w:rPr>
              <w:t>0</w:t>
            </w:r>
          </w:p>
        </w:tc>
        <w:tc>
          <w:tcPr>
            <w:tcW w:w="924"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rPr>
            </w:pPr>
            <w:r>
              <w:rPr>
                <w:rFonts w:cstheme="minorHAnsi"/>
              </w:rPr>
              <w:t>0</w:t>
            </w:r>
          </w:p>
        </w:tc>
      </w:tr>
      <w:tr w:rsidR="006B39E3" w:rsidTr="0081353E">
        <w:tc>
          <w:tcPr>
            <w:tcW w:w="1098"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rPr>
                <w:rFonts w:cstheme="minorHAnsi"/>
              </w:rPr>
            </w:pPr>
            <w:r w:rsidRPr="006B39E3">
              <w:rPr>
                <w:rFonts w:cstheme="minorHAnsi"/>
              </w:rPr>
              <w:t>Garvin</w:t>
            </w:r>
          </w:p>
        </w:tc>
        <w:tc>
          <w:tcPr>
            <w:tcW w:w="1190" w:type="dxa"/>
            <w:tcBorders>
              <w:top w:val="single" w:sz="4" w:space="0" w:color="auto"/>
              <w:left w:val="single" w:sz="4" w:space="0" w:color="auto"/>
              <w:bottom w:val="single" w:sz="4" w:space="0" w:color="auto"/>
              <w:right w:val="single" w:sz="4" w:space="0" w:color="auto"/>
            </w:tcBorders>
            <w:hideMark/>
          </w:tcPr>
          <w:p w:rsidR="006B39E3" w:rsidRPr="006B39E3" w:rsidRDefault="006B39E3" w:rsidP="006B39E3">
            <w:pPr>
              <w:jc w:val="center"/>
              <w:rPr>
                <w:rFonts w:cstheme="minorHAnsi"/>
              </w:rPr>
            </w:pPr>
            <w:r w:rsidRPr="006B39E3">
              <w:rPr>
                <w:rFonts w:cstheme="minorHAnsi"/>
              </w:rPr>
              <w:t>2</w:t>
            </w:r>
          </w:p>
        </w:tc>
        <w:tc>
          <w:tcPr>
            <w:tcW w:w="875" w:type="dxa"/>
            <w:tcBorders>
              <w:top w:val="single" w:sz="4" w:space="0" w:color="auto"/>
              <w:left w:val="single" w:sz="4" w:space="0" w:color="auto"/>
              <w:bottom w:val="single" w:sz="4" w:space="0" w:color="auto"/>
              <w:right w:val="single" w:sz="4" w:space="0" w:color="auto"/>
            </w:tcBorders>
            <w:hideMark/>
          </w:tcPr>
          <w:p w:rsidR="006B39E3" w:rsidRPr="006B39E3" w:rsidRDefault="006B39E3" w:rsidP="006B39E3">
            <w:pPr>
              <w:jc w:val="center"/>
              <w:rPr>
                <w:rFonts w:cstheme="minorHAnsi"/>
              </w:rPr>
            </w:pPr>
            <w:r>
              <w:rPr>
                <w:rFonts w:cstheme="minorHAnsi"/>
              </w:rPr>
              <w:t>2</w:t>
            </w:r>
          </w:p>
        </w:tc>
        <w:tc>
          <w:tcPr>
            <w:tcW w:w="925"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rPr>
            </w:pPr>
            <w:r>
              <w:rPr>
                <w:rFonts w:cstheme="minorHAnsi"/>
              </w:rPr>
              <w:t>0</w:t>
            </w:r>
          </w:p>
        </w:tc>
        <w:tc>
          <w:tcPr>
            <w:tcW w:w="925"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rPr>
            </w:pPr>
            <w:r>
              <w:rPr>
                <w:rFonts w:cstheme="minorHAnsi"/>
              </w:rPr>
              <w:t>0</w:t>
            </w:r>
          </w:p>
        </w:tc>
        <w:tc>
          <w:tcPr>
            <w:tcW w:w="1190" w:type="dxa"/>
            <w:tcBorders>
              <w:top w:val="single" w:sz="4" w:space="0" w:color="auto"/>
              <w:left w:val="single" w:sz="4" w:space="0" w:color="auto"/>
              <w:bottom w:val="single" w:sz="4" w:space="0" w:color="auto"/>
              <w:right w:val="single" w:sz="4" w:space="0" w:color="auto"/>
            </w:tcBorders>
            <w:hideMark/>
          </w:tcPr>
          <w:p w:rsidR="006B39E3" w:rsidRPr="006B39E3" w:rsidRDefault="006B39E3" w:rsidP="006B39E3">
            <w:pPr>
              <w:jc w:val="center"/>
              <w:rPr>
                <w:rFonts w:cstheme="minorHAnsi"/>
              </w:rPr>
            </w:pPr>
            <w:r w:rsidRPr="006B39E3">
              <w:rPr>
                <w:rFonts w:cstheme="minorHAnsi"/>
              </w:rPr>
              <w:t>3</w:t>
            </w:r>
          </w:p>
        </w:tc>
        <w:tc>
          <w:tcPr>
            <w:tcW w:w="839" w:type="dxa"/>
            <w:tcBorders>
              <w:top w:val="single" w:sz="4" w:space="0" w:color="auto"/>
              <w:left w:val="single" w:sz="4" w:space="0" w:color="auto"/>
              <w:bottom w:val="single" w:sz="4" w:space="0" w:color="auto"/>
              <w:right w:val="single" w:sz="4" w:space="0" w:color="auto"/>
            </w:tcBorders>
            <w:hideMark/>
          </w:tcPr>
          <w:p w:rsidR="006B39E3" w:rsidRPr="006B39E3" w:rsidRDefault="006B39E3" w:rsidP="006B39E3">
            <w:pPr>
              <w:jc w:val="center"/>
              <w:rPr>
                <w:rFonts w:cstheme="minorHAnsi"/>
              </w:rPr>
            </w:pPr>
            <w:r>
              <w:rPr>
                <w:rFonts w:cstheme="minorHAnsi"/>
              </w:rPr>
              <w:t>1</w:t>
            </w:r>
          </w:p>
        </w:tc>
        <w:tc>
          <w:tcPr>
            <w:tcW w:w="924"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rPr>
            </w:pPr>
            <w:r>
              <w:rPr>
                <w:rFonts w:cstheme="minorHAnsi"/>
              </w:rPr>
              <w:t>0</w:t>
            </w:r>
          </w:p>
        </w:tc>
        <w:tc>
          <w:tcPr>
            <w:tcW w:w="924"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rPr>
            </w:pPr>
            <w:r>
              <w:rPr>
                <w:rFonts w:cstheme="minorHAnsi"/>
              </w:rPr>
              <w:t>0</w:t>
            </w:r>
          </w:p>
        </w:tc>
      </w:tr>
      <w:tr w:rsidR="006B39E3" w:rsidTr="0081353E">
        <w:tc>
          <w:tcPr>
            <w:tcW w:w="1098"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rPr>
                <w:rFonts w:cstheme="minorHAnsi"/>
              </w:rPr>
            </w:pPr>
            <w:r w:rsidRPr="006B39E3">
              <w:rPr>
                <w:rFonts w:cstheme="minorHAnsi"/>
              </w:rPr>
              <w:t>Johnston</w:t>
            </w:r>
          </w:p>
        </w:tc>
        <w:tc>
          <w:tcPr>
            <w:tcW w:w="1190"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Pr>
                <w:rFonts w:cstheme="minorHAnsi"/>
              </w:rPr>
              <w:t>1</w:t>
            </w:r>
          </w:p>
        </w:tc>
        <w:tc>
          <w:tcPr>
            <w:tcW w:w="875"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sidRPr="006B39E3">
              <w:rPr>
                <w:rFonts w:cstheme="minorHAnsi"/>
              </w:rPr>
              <w:t>0</w:t>
            </w:r>
          </w:p>
        </w:tc>
        <w:tc>
          <w:tcPr>
            <w:tcW w:w="925"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i/>
                <w:u w:val="single"/>
              </w:rPr>
            </w:pPr>
            <w:r>
              <w:rPr>
                <w:rFonts w:cstheme="minorHAnsi"/>
              </w:rPr>
              <w:t>0</w:t>
            </w:r>
          </w:p>
        </w:tc>
        <w:tc>
          <w:tcPr>
            <w:tcW w:w="925"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i/>
                <w:u w:val="single"/>
              </w:rPr>
            </w:pPr>
            <w:r>
              <w:rPr>
                <w:rFonts w:cstheme="minorHAnsi"/>
              </w:rPr>
              <w:t>0</w:t>
            </w:r>
          </w:p>
        </w:tc>
        <w:tc>
          <w:tcPr>
            <w:tcW w:w="1190"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sidRPr="006B39E3">
              <w:rPr>
                <w:rFonts w:cstheme="minorHAnsi"/>
              </w:rPr>
              <w:t>0</w:t>
            </w:r>
          </w:p>
        </w:tc>
        <w:tc>
          <w:tcPr>
            <w:tcW w:w="839"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Pr>
                <w:rFonts w:cstheme="minorHAnsi"/>
              </w:rPr>
              <w:t>0</w:t>
            </w:r>
          </w:p>
        </w:tc>
        <w:tc>
          <w:tcPr>
            <w:tcW w:w="924"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i/>
                <w:u w:val="single"/>
              </w:rPr>
            </w:pPr>
            <w:r>
              <w:rPr>
                <w:rFonts w:cstheme="minorHAnsi"/>
              </w:rPr>
              <w:t>0</w:t>
            </w:r>
          </w:p>
        </w:tc>
        <w:tc>
          <w:tcPr>
            <w:tcW w:w="924"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i/>
                <w:u w:val="single"/>
              </w:rPr>
            </w:pPr>
            <w:r>
              <w:rPr>
                <w:rFonts w:cstheme="minorHAnsi"/>
              </w:rPr>
              <w:t>0</w:t>
            </w:r>
          </w:p>
        </w:tc>
      </w:tr>
      <w:tr w:rsidR="006B39E3" w:rsidTr="0081353E">
        <w:tc>
          <w:tcPr>
            <w:tcW w:w="1098"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tabs>
                <w:tab w:val="left" w:pos="810"/>
              </w:tabs>
              <w:rPr>
                <w:rFonts w:cstheme="minorHAnsi"/>
              </w:rPr>
            </w:pPr>
            <w:r w:rsidRPr="006B39E3">
              <w:rPr>
                <w:rFonts w:cstheme="minorHAnsi"/>
              </w:rPr>
              <w:t>Love</w:t>
            </w:r>
          </w:p>
        </w:tc>
        <w:tc>
          <w:tcPr>
            <w:tcW w:w="1190"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sidRPr="006B39E3">
              <w:rPr>
                <w:rFonts w:cstheme="minorHAnsi"/>
              </w:rPr>
              <w:t>0</w:t>
            </w:r>
          </w:p>
        </w:tc>
        <w:tc>
          <w:tcPr>
            <w:tcW w:w="875"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sidRPr="006B39E3">
              <w:rPr>
                <w:rFonts w:cstheme="minorHAnsi"/>
              </w:rPr>
              <w:t>0</w:t>
            </w:r>
          </w:p>
        </w:tc>
        <w:tc>
          <w:tcPr>
            <w:tcW w:w="925"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i/>
                <w:u w:val="single"/>
              </w:rPr>
            </w:pPr>
            <w:r>
              <w:rPr>
                <w:rFonts w:cstheme="minorHAnsi"/>
              </w:rPr>
              <w:t>0</w:t>
            </w:r>
          </w:p>
        </w:tc>
        <w:tc>
          <w:tcPr>
            <w:tcW w:w="925"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i/>
                <w:u w:val="single"/>
              </w:rPr>
            </w:pPr>
            <w:r>
              <w:rPr>
                <w:rFonts w:cstheme="minorHAnsi"/>
              </w:rPr>
              <w:t>0</w:t>
            </w:r>
          </w:p>
        </w:tc>
        <w:tc>
          <w:tcPr>
            <w:tcW w:w="1190"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Pr>
                <w:rFonts w:cstheme="minorHAnsi"/>
              </w:rPr>
              <w:t>0</w:t>
            </w:r>
          </w:p>
        </w:tc>
        <w:tc>
          <w:tcPr>
            <w:tcW w:w="839"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Pr>
                <w:rFonts w:cstheme="minorHAnsi"/>
              </w:rPr>
              <w:t>0</w:t>
            </w:r>
          </w:p>
        </w:tc>
        <w:tc>
          <w:tcPr>
            <w:tcW w:w="924"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i/>
                <w:u w:val="single"/>
              </w:rPr>
            </w:pPr>
            <w:r>
              <w:rPr>
                <w:rFonts w:cstheme="minorHAnsi"/>
              </w:rPr>
              <w:t>0</w:t>
            </w:r>
          </w:p>
        </w:tc>
        <w:tc>
          <w:tcPr>
            <w:tcW w:w="924"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i/>
                <w:u w:val="single"/>
              </w:rPr>
            </w:pPr>
            <w:r>
              <w:rPr>
                <w:rFonts w:cstheme="minorHAnsi"/>
              </w:rPr>
              <w:t>0</w:t>
            </w:r>
          </w:p>
        </w:tc>
      </w:tr>
      <w:tr w:rsidR="006B39E3" w:rsidTr="0081353E">
        <w:tc>
          <w:tcPr>
            <w:tcW w:w="1098"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rPr>
                <w:rFonts w:cstheme="minorHAnsi"/>
              </w:rPr>
            </w:pPr>
            <w:r w:rsidRPr="006B39E3">
              <w:rPr>
                <w:rFonts w:cstheme="minorHAnsi"/>
              </w:rPr>
              <w:t>Marshall</w:t>
            </w:r>
          </w:p>
        </w:tc>
        <w:tc>
          <w:tcPr>
            <w:tcW w:w="1190"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sidRPr="006B39E3">
              <w:rPr>
                <w:rFonts w:cstheme="minorHAnsi"/>
              </w:rPr>
              <w:t>0</w:t>
            </w:r>
          </w:p>
        </w:tc>
        <w:tc>
          <w:tcPr>
            <w:tcW w:w="875"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sidRPr="006B39E3">
              <w:rPr>
                <w:rFonts w:cstheme="minorHAnsi"/>
              </w:rPr>
              <w:t>0</w:t>
            </w:r>
          </w:p>
        </w:tc>
        <w:tc>
          <w:tcPr>
            <w:tcW w:w="925"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i/>
                <w:u w:val="single"/>
              </w:rPr>
            </w:pPr>
            <w:r>
              <w:rPr>
                <w:rFonts w:cstheme="minorHAnsi"/>
              </w:rPr>
              <w:t>0</w:t>
            </w:r>
          </w:p>
        </w:tc>
        <w:tc>
          <w:tcPr>
            <w:tcW w:w="925"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i/>
                <w:u w:val="single"/>
              </w:rPr>
            </w:pPr>
            <w:r>
              <w:rPr>
                <w:rFonts w:cstheme="minorHAnsi"/>
              </w:rPr>
              <w:t>0</w:t>
            </w:r>
          </w:p>
        </w:tc>
        <w:tc>
          <w:tcPr>
            <w:tcW w:w="1190"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Pr>
                <w:rFonts w:cstheme="minorHAnsi"/>
              </w:rPr>
              <w:t>1</w:t>
            </w:r>
          </w:p>
        </w:tc>
        <w:tc>
          <w:tcPr>
            <w:tcW w:w="839"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Pr>
                <w:rFonts w:cstheme="minorHAnsi"/>
              </w:rPr>
              <w:t>0</w:t>
            </w:r>
          </w:p>
        </w:tc>
        <w:tc>
          <w:tcPr>
            <w:tcW w:w="924"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i/>
                <w:u w:val="single"/>
              </w:rPr>
            </w:pPr>
            <w:r>
              <w:rPr>
                <w:rFonts w:cstheme="minorHAnsi"/>
              </w:rPr>
              <w:t>0</w:t>
            </w:r>
          </w:p>
        </w:tc>
        <w:tc>
          <w:tcPr>
            <w:tcW w:w="924"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i/>
                <w:u w:val="single"/>
              </w:rPr>
            </w:pPr>
            <w:r>
              <w:rPr>
                <w:rFonts w:cstheme="minorHAnsi"/>
              </w:rPr>
              <w:t>0</w:t>
            </w:r>
          </w:p>
        </w:tc>
      </w:tr>
      <w:tr w:rsidR="006B39E3" w:rsidTr="0081353E">
        <w:tc>
          <w:tcPr>
            <w:tcW w:w="1098"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rPr>
                <w:rFonts w:cstheme="minorHAnsi"/>
              </w:rPr>
            </w:pPr>
            <w:r w:rsidRPr="006B39E3">
              <w:rPr>
                <w:rFonts w:cstheme="minorHAnsi"/>
              </w:rPr>
              <w:t>Murray</w:t>
            </w:r>
          </w:p>
        </w:tc>
        <w:tc>
          <w:tcPr>
            <w:tcW w:w="1190"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Pr>
                <w:rFonts w:cstheme="minorHAnsi"/>
              </w:rPr>
              <w:t>4</w:t>
            </w:r>
          </w:p>
        </w:tc>
        <w:tc>
          <w:tcPr>
            <w:tcW w:w="875"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Pr>
                <w:rFonts w:cstheme="minorHAnsi"/>
              </w:rPr>
              <w:t>5</w:t>
            </w:r>
          </w:p>
        </w:tc>
        <w:tc>
          <w:tcPr>
            <w:tcW w:w="925"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i/>
                <w:u w:val="single"/>
              </w:rPr>
            </w:pPr>
            <w:r>
              <w:rPr>
                <w:rFonts w:cstheme="minorHAnsi"/>
              </w:rPr>
              <w:t>0</w:t>
            </w:r>
          </w:p>
        </w:tc>
        <w:tc>
          <w:tcPr>
            <w:tcW w:w="925"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i/>
                <w:u w:val="single"/>
              </w:rPr>
            </w:pPr>
            <w:r>
              <w:rPr>
                <w:rFonts w:cstheme="minorHAnsi"/>
              </w:rPr>
              <w:t>0</w:t>
            </w:r>
          </w:p>
        </w:tc>
        <w:tc>
          <w:tcPr>
            <w:tcW w:w="1190"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Pr>
                <w:rFonts w:cstheme="minorHAnsi"/>
              </w:rPr>
              <w:t>1</w:t>
            </w:r>
          </w:p>
        </w:tc>
        <w:tc>
          <w:tcPr>
            <w:tcW w:w="839"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Pr>
                <w:rFonts w:cstheme="minorHAnsi"/>
              </w:rPr>
              <w:t>0</w:t>
            </w:r>
          </w:p>
        </w:tc>
        <w:tc>
          <w:tcPr>
            <w:tcW w:w="924"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i/>
                <w:u w:val="single"/>
              </w:rPr>
            </w:pPr>
            <w:r>
              <w:rPr>
                <w:rFonts w:cstheme="minorHAnsi"/>
              </w:rPr>
              <w:t>0</w:t>
            </w:r>
          </w:p>
        </w:tc>
        <w:tc>
          <w:tcPr>
            <w:tcW w:w="924"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i/>
                <w:u w:val="single"/>
              </w:rPr>
            </w:pPr>
            <w:r>
              <w:rPr>
                <w:rFonts w:cstheme="minorHAnsi"/>
              </w:rPr>
              <w:t>0</w:t>
            </w:r>
          </w:p>
        </w:tc>
      </w:tr>
      <w:tr w:rsidR="006B39E3" w:rsidTr="0081353E">
        <w:tc>
          <w:tcPr>
            <w:tcW w:w="1098"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rPr>
                <w:rFonts w:cstheme="minorHAnsi"/>
              </w:rPr>
            </w:pPr>
            <w:r w:rsidRPr="006B39E3">
              <w:rPr>
                <w:rFonts w:cstheme="minorHAnsi"/>
              </w:rPr>
              <w:t>Pontotoc</w:t>
            </w:r>
          </w:p>
        </w:tc>
        <w:tc>
          <w:tcPr>
            <w:tcW w:w="1190"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Pr>
                <w:rFonts w:cstheme="minorHAnsi"/>
              </w:rPr>
              <w:t>26</w:t>
            </w:r>
          </w:p>
        </w:tc>
        <w:tc>
          <w:tcPr>
            <w:tcW w:w="875"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Pr>
                <w:rFonts w:cstheme="minorHAnsi"/>
              </w:rPr>
              <w:t>7</w:t>
            </w:r>
          </w:p>
        </w:tc>
        <w:tc>
          <w:tcPr>
            <w:tcW w:w="925"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i/>
                <w:u w:val="single"/>
              </w:rPr>
            </w:pPr>
            <w:r>
              <w:rPr>
                <w:rFonts w:cstheme="minorHAnsi"/>
              </w:rPr>
              <w:t>0</w:t>
            </w:r>
          </w:p>
        </w:tc>
        <w:tc>
          <w:tcPr>
            <w:tcW w:w="925"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i/>
                <w:u w:val="single"/>
              </w:rPr>
            </w:pPr>
            <w:r>
              <w:rPr>
                <w:rFonts w:cstheme="minorHAnsi"/>
              </w:rPr>
              <w:t>0</w:t>
            </w:r>
          </w:p>
        </w:tc>
        <w:tc>
          <w:tcPr>
            <w:tcW w:w="1190"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Pr>
                <w:rFonts w:cstheme="minorHAnsi"/>
              </w:rPr>
              <w:t>37</w:t>
            </w:r>
          </w:p>
        </w:tc>
        <w:tc>
          <w:tcPr>
            <w:tcW w:w="839" w:type="dxa"/>
            <w:tcBorders>
              <w:top w:val="single" w:sz="4" w:space="0" w:color="auto"/>
              <w:left w:val="single" w:sz="4" w:space="0" w:color="auto"/>
              <w:bottom w:val="single" w:sz="4" w:space="0" w:color="auto"/>
              <w:right w:val="single" w:sz="4" w:space="0" w:color="auto"/>
            </w:tcBorders>
          </w:tcPr>
          <w:p w:rsidR="006B39E3" w:rsidRPr="006B39E3" w:rsidRDefault="006B39E3" w:rsidP="006B39E3">
            <w:pPr>
              <w:jc w:val="center"/>
              <w:rPr>
                <w:rFonts w:cstheme="minorHAnsi"/>
              </w:rPr>
            </w:pPr>
            <w:r>
              <w:rPr>
                <w:rFonts w:cstheme="minorHAnsi"/>
              </w:rPr>
              <w:t>4</w:t>
            </w:r>
          </w:p>
        </w:tc>
        <w:tc>
          <w:tcPr>
            <w:tcW w:w="924"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i/>
                <w:u w:val="single"/>
              </w:rPr>
            </w:pPr>
            <w:r>
              <w:rPr>
                <w:rFonts w:cstheme="minorHAnsi"/>
              </w:rPr>
              <w:t>0</w:t>
            </w:r>
          </w:p>
        </w:tc>
        <w:tc>
          <w:tcPr>
            <w:tcW w:w="924" w:type="dxa"/>
            <w:tcBorders>
              <w:top w:val="single" w:sz="4" w:space="0" w:color="auto"/>
              <w:left w:val="single" w:sz="4" w:space="0" w:color="auto"/>
              <w:bottom w:val="single" w:sz="4" w:space="0" w:color="auto"/>
              <w:right w:val="single" w:sz="4" w:space="0" w:color="auto"/>
            </w:tcBorders>
          </w:tcPr>
          <w:p w:rsidR="006B39E3" w:rsidRPr="006B39E3" w:rsidRDefault="00594B85" w:rsidP="006B39E3">
            <w:pPr>
              <w:jc w:val="center"/>
              <w:rPr>
                <w:rFonts w:cstheme="minorHAnsi"/>
                <w:i/>
                <w:u w:val="single"/>
              </w:rPr>
            </w:pPr>
            <w:r>
              <w:rPr>
                <w:rFonts w:cstheme="minorHAnsi"/>
              </w:rPr>
              <w:t>0</w:t>
            </w:r>
          </w:p>
        </w:tc>
      </w:tr>
      <w:tr w:rsidR="006B39E3" w:rsidTr="0081353E">
        <w:tc>
          <w:tcPr>
            <w:tcW w:w="1098" w:type="dxa"/>
            <w:tcBorders>
              <w:top w:val="single" w:sz="4" w:space="0" w:color="auto"/>
              <w:left w:val="single" w:sz="4" w:space="0" w:color="auto"/>
              <w:bottom w:val="single" w:sz="4" w:space="0" w:color="auto"/>
              <w:right w:val="single" w:sz="4" w:space="0" w:color="auto"/>
            </w:tcBorders>
            <w:hideMark/>
          </w:tcPr>
          <w:p w:rsidR="006B39E3" w:rsidRPr="00594B85" w:rsidRDefault="006B39E3" w:rsidP="006B39E3">
            <w:pPr>
              <w:rPr>
                <w:rFonts w:cstheme="minorHAnsi"/>
                <w:u w:val="single"/>
              </w:rPr>
            </w:pPr>
            <w:r w:rsidRPr="00594B85">
              <w:rPr>
                <w:rFonts w:cstheme="minorHAnsi"/>
                <w:u w:val="single"/>
              </w:rPr>
              <w:t>Totals</w:t>
            </w:r>
          </w:p>
        </w:tc>
        <w:tc>
          <w:tcPr>
            <w:tcW w:w="1190" w:type="dxa"/>
            <w:tcBorders>
              <w:top w:val="single" w:sz="4" w:space="0" w:color="auto"/>
              <w:left w:val="single" w:sz="4" w:space="0" w:color="auto"/>
              <w:bottom w:val="single" w:sz="4" w:space="0" w:color="auto"/>
              <w:right w:val="single" w:sz="4" w:space="0" w:color="auto"/>
            </w:tcBorders>
            <w:hideMark/>
          </w:tcPr>
          <w:p w:rsidR="006B39E3" w:rsidRPr="00594B85" w:rsidRDefault="00594B85" w:rsidP="006B39E3">
            <w:pPr>
              <w:jc w:val="center"/>
              <w:rPr>
                <w:rFonts w:cstheme="minorHAnsi"/>
                <w:u w:val="single"/>
              </w:rPr>
            </w:pPr>
            <w:r>
              <w:rPr>
                <w:rFonts w:cstheme="minorHAnsi"/>
                <w:u w:val="single"/>
              </w:rPr>
              <w:t>869</w:t>
            </w:r>
          </w:p>
        </w:tc>
        <w:tc>
          <w:tcPr>
            <w:tcW w:w="875" w:type="dxa"/>
            <w:tcBorders>
              <w:top w:val="single" w:sz="4" w:space="0" w:color="auto"/>
              <w:left w:val="single" w:sz="4" w:space="0" w:color="auto"/>
              <w:bottom w:val="single" w:sz="4" w:space="0" w:color="auto"/>
              <w:right w:val="single" w:sz="4" w:space="0" w:color="auto"/>
            </w:tcBorders>
            <w:hideMark/>
          </w:tcPr>
          <w:p w:rsidR="006B39E3" w:rsidRPr="00594B85" w:rsidRDefault="00594B85" w:rsidP="006B39E3">
            <w:pPr>
              <w:jc w:val="center"/>
              <w:rPr>
                <w:rFonts w:cstheme="minorHAnsi"/>
                <w:u w:val="single"/>
              </w:rPr>
            </w:pPr>
            <w:r>
              <w:rPr>
                <w:rFonts w:cstheme="minorHAnsi"/>
                <w:u w:val="single"/>
              </w:rPr>
              <w:t>202</w:t>
            </w:r>
          </w:p>
        </w:tc>
        <w:tc>
          <w:tcPr>
            <w:tcW w:w="925" w:type="dxa"/>
            <w:tcBorders>
              <w:top w:val="single" w:sz="4" w:space="0" w:color="auto"/>
              <w:left w:val="single" w:sz="4" w:space="0" w:color="auto"/>
              <w:bottom w:val="single" w:sz="4" w:space="0" w:color="auto"/>
              <w:right w:val="single" w:sz="4" w:space="0" w:color="auto"/>
            </w:tcBorders>
          </w:tcPr>
          <w:p w:rsidR="006B39E3" w:rsidRPr="00594B85" w:rsidRDefault="00594B85" w:rsidP="006B39E3">
            <w:pPr>
              <w:jc w:val="center"/>
              <w:rPr>
                <w:rFonts w:cstheme="minorHAnsi"/>
                <w:u w:val="single"/>
              </w:rPr>
            </w:pPr>
            <w:r>
              <w:rPr>
                <w:rFonts w:cstheme="minorHAnsi"/>
                <w:u w:val="single"/>
              </w:rPr>
              <w:t>10</w:t>
            </w:r>
          </w:p>
        </w:tc>
        <w:tc>
          <w:tcPr>
            <w:tcW w:w="925" w:type="dxa"/>
            <w:tcBorders>
              <w:top w:val="single" w:sz="4" w:space="0" w:color="auto"/>
              <w:left w:val="single" w:sz="4" w:space="0" w:color="auto"/>
              <w:bottom w:val="single" w:sz="4" w:space="0" w:color="auto"/>
              <w:right w:val="single" w:sz="4" w:space="0" w:color="auto"/>
            </w:tcBorders>
          </w:tcPr>
          <w:p w:rsidR="006B39E3" w:rsidRPr="00594B85" w:rsidRDefault="00594B85" w:rsidP="006B39E3">
            <w:pPr>
              <w:jc w:val="center"/>
              <w:rPr>
                <w:rFonts w:cstheme="minorHAnsi"/>
                <w:u w:val="single"/>
              </w:rPr>
            </w:pPr>
            <w:r>
              <w:rPr>
                <w:rFonts w:cstheme="minorHAnsi"/>
                <w:u w:val="single"/>
              </w:rPr>
              <w:t>30</w:t>
            </w:r>
          </w:p>
        </w:tc>
        <w:tc>
          <w:tcPr>
            <w:tcW w:w="1190" w:type="dxa"/>
            <w:tcBorders>
              <w:top w:val="single" w:sz="4" w:space="0" w:color="auto"/>
              <w:left w:val="single" w:sz="4" w:space="0" w:color="auto"/>
              <w:bottom w:val="single" w:sz="4" w:space="0" w:color="auto"/>
              <w:right w:val="single" w:sz="4" w:space="0" w:color="auto"/>
            </w:tcBorders>
            <w:hideMark/>
          </w:tcPr>
          <w:p w:rsidR="006B39E3" w:rsidRPr="00594B85" w:rsidRDefault="00594B85" w:rsidP="006B39E3">
            <w:pPr>
              <w:jc w:val="center"/>
              <w:rPr>
                <w:rFonts w:cstheme="minorHAnsi"/>
                <w:u w:val="single"/>
              </w:rPr>
            </w:pPr>
            <w:r>
              <w:rPr>
                <w:rFonts w:cstheme="minorHAnsi"/>
                <w:u w:val="single"/>
              </w:rPr>
              <w:t>757</w:t>
            </w:r>
          </w:p>
        </w:tc>
        <w:tc>
          <w:tcPr>
            <w:tcW w:w="839" w:type="dxa"/>
            <w:tcBorders>
              <w:top w:val="single" w:sz="4" w:space="0" w:color="auto"/>
              <w:left w:val="single" w:sz="4" w:space="0" w:color="auto"/>
              <w:bottom w:val="single" w:sz="4" w:space="0" w:color="auto"/>
              <w:right w:val="single" w:sz="4" w:space="0" w:color="auto"/>
            </w:tcBorders>
            <w:hideMark/>
          </w:tcPr>
          <w:p w:rsidR="006B39E3" w:rsidRPr="00594B85" w:rsidRDefault="00594B85" w:rsidP="006B39E3">
            <w:pPr>
              <w:jc w:val="center"/>
              <w:rPr>
                <w:rFonts w:cstheme="minorHAnsi"/>
                <w:u w:val="single"/>
              </w:rPr>
            </w:pPr>
            <w:r>
              <w:rPr>
                <w:rFonts w:cstheme="minorHAnsi"/>
                <w:u w:val="single"/>
              </w:rPr>
              <w:t>170</w:t>
            </w:r>
          </w:p>
        </w:tc>
        <w:tc>
          <w:tcPr>
            <w:tcW w:w="924" w:type="dxa"/>
            <w:tcBorders>
              <w:top w:val="single" w:sz="4" w:space="0" w:color="auto"/>
              <w:left w:val="single" w:sz="4" w:space="0" w:color="auto"/>
              <w:bottom w:val="single" w:sz="4" w:space="0" w:color="auto"/>
              <w:right w:val="single" w:sz="4" w:space="0" w:color="auto"/>
            </w:tcBorders>
          </w:tcPr>
          <w:p w:rsidR="006B39E3" w:rsidRPr="00594B85" w:rsidRDefault="00594B85" w:rsidP="006B39E3">
            <w:pPr>
              <w:jc w:val="center"/>
              <w:rPr>
                <w:rFonts w:cstheme="minorHAnsi"/>
                <w:u w:val="single"/>
              </w:rPr>
            </w:pPr>
            <w:r w:rsidRPr="00594B85">
              <w:rPr>
                <w:rFonts w:cstheme="minorHAnsi"/>
                <w:u w:val="single"/>
              </w:rPr>
              <w:t>12</w:t>
            </w:r>
          </w:p>
        </w:tc>
        <w:tc>
          <w:tcPr>
            <w:tcW w:w="924" w:type="dxa"/>
            <w:tcBorders>
              <w:top w:val="single" w:sz="4" w:space="0" w:color="auto"/>
              <w:left w:val="single" w:sz="4" w:space="0" w:color="auto"/>
              <w:bottom w:val="single" w:sz="4" w:space="0" w:color="auto"/>
              <w:right w:val="single" w:sz="4" w:space="0" w:color="auto"/>
            </w:tcBorders>
          </w:tcPr>
          <w:p w:rsidR="006B39E3" w:rsidRPr="00594B85" w:rsidRDefault="00594B85" w:rsidP="006B39E3">
            <w:pPr>
              <w:jc w:val="center"/>
              <w:rPr>
                <w:rFonts w:cstheme="minorHAnsi"/>
                <w:u w:val="single"/>
              </w:rPr>
            </w:pPr>
            <w:r>
              <w:rPr>
                <w:rFonts w:cstheme="minorHAnsi"/>
                <w:u w:val="single"/>
              </w:rPr>
              <w:t>21</w:t>
            </w:r>
          </w:p>
        </w:tc>
      </w:tr>
      <w:tr w:rsidR="00AF3CE3" w:rsidTr="0081353E">
        <w:tc>
          <w:tcPr>
            <w:tcW w:w="8890" w:type="dxa"/>
            <w:gridSpan w:val="9"/>
            <w:tcBorders>
              <w:top w:val="single" w:sz="4" w:space="0" w:color="auto"/>
              <w:left w:val="single" w:sz="4" w:space="0" w:color="auto"/>
              <w:bottom w:val="single" w:sz="4" w:space="0" w:color="auto"/>
              <w:right w:val="single" w:sz="4" w:space="0" w:color="auto"/>
            </w:tcBorders>
          </w:tcPr>
          <w:p w:rsidR="00AF3CE3" w:rsidRPr="00AF3CE3" w:rsidRDefault="00AF3CE3" w:rsidP="006B39E3">
            <w:pPr>
              <w:jc w:val="center"/>
              <w:rPr>
                <w:rFonts w:cstheme="minorHAnsi"/>
                <w:b/>
                <w:sz w:val="20"/>
                <w:szCs w:val="20"/>
              </w:rPr>
            </w:pPr>
            <w:r w:rsidRPr="00AF3CE3">
              <w:rPr>
                <w:rFonts w:cstheme="minorHAnsi"/>
                <w:b/>
                <w:sz w:val="20"/>
                <w:szCs w:val="20"/>
              </w:rPr>
              <w:t>Source: Oklahoma Department of Mental Health and Substance Abuse Service</w:t>
            </w:r>
          </w:p>
        </w:tc>
      </w:tr>
    </w:tbl>
    <w:p w:rsidR="00671DD2" w:rsidRDefault="00671DD2" w:rsidP="001B70B4">
      <w:pPr>
        <w:rPr>
          <w:rFonts w:cstheme="minorHAnsi"/>
          <w:b/>
          <w:sz w:val="24"/>
          <w:szCs w:val="24"/>
        </w:rPr>
      </w:pPr>
    </w:p>
    <w:p w:rsidR="005F0AF5" w:rsidRPr="005F0AF5" w:rsidRDefault="0059187D" w:rsidP="0059187D">
      <w:pPr>
        <w:jc w:val="both"/>
        <w:rPr>
          <w:rFonts w:cstheme="minorHAnsi"/>
          <w:sz w:val="24"/>
          <w:szCs w:val="24"/>
        </w:rPr>
      </w:pPr>
      <w:r w:rsidRPr="005F0AF5">
        <w:rPr>
          <w:rFonts w:cstheme="minorHAnsi"/>
          <w:sz w:val="24"/>
          <w:szCs w:val="24"/>
        </w:rPr>
        <w:t>Region 10, along</w:t>
      </w:r>
      <w:r>
        <w:rPr>
          <w:rFonts w:cstheme="minorHAnsi"/>
          <w:sz w:val="24"/>
          <w:szCs w:val="24"/>
        </w:rPr>
        <w:t xml:space="preserve"> with the REOW, strives</w:t>
      </w:r>
      <w:r w:rsidR="005F0AF5">
        <w:rPr>
          <w:rFonts w:cstheme="minorHAnsi"/>
          <w:sz w:val="24"/>
          <w:szCs w:val="24"/>
        </w:rPr>
        <w:t xml:space="preserve"> to stay up-to-date on current and developing illicit drug information in our region.  According to this table, there is a </w:t>
      </w:r>
      <w:r>
        <w:rPr>
          <w:rFonts w:cstheme="minorHAnsi"/>
          <w:sz w:val="24"/>
          <w:szCs w:val="24"/>
        </w:rPr>
        <w:t>low rate of admissions in Region 10 for illicit drug treatment in comparison with the state.  The RPC acknowledges that illicit drug use is a problem in our communities and that is often tied to alcohol abuse and prescription drug misuse and abuse.</w:t>
      </w:r>
      <w:r w:rsidR="005F0AF5" w:rsidRPr="005F0AF5">
        <w:rPr>
          <w:rFonts w:cstheme="minorHAnsi"/>
          <w:sz w:val="24"/>
          <w:szCs w:val="24"/>
        </w:rPr>
        <w:t xml:space="preserve"> </w:t>
      </w:r>
    </w:p>
    <w:p w:rsidR="0059187D" w:rsidRDefault="0059187D">
      <w:pPr>
        <w:rPr>
          <w:rFonts w:cstheme="minorHAnsi"/>
          <w:b/>
          <w:sz w:val="24"/>
          <w:szCs w:val="24"/>
        </w:rPr>
      </w:pPr>
      <w:r>
        <w:rPr>
          <w:rFonts w:cstheme="minorHAnsi"/>
          <w:b/>
          <w:sz w:val="24"/>
          <w:szCs w:val="24"/>
        </w:rPr>
        <w:br w:type="page"/>
      </w:r>
    </w:p>
    <w:p w:rsidR="001B70B4" w:rsidRPr="003C5252" w:rsidRDefault="001B70B4" w:rsidP="001B70B4">
      <w:pPr>
        <w:rPr>
          <w:rFonts w:cstheme="minorHAnsi"/>
          <w:b/>
          <w:sz w:val="24"/>
          <w:szCs w:val="24"/>
        </w:rPr>
      </w:pPr>
      <w:r w:rsidRPr="003C5252">
        <w:rPr>
          <w:rFonts w:cstheme="minorHAnsi"/>
          <w:b/>
          <w:sz w:val="24"/>
          <w:szCs w:val="24"/>
        </w:rPr>
        <w:lastRenderedPageBreak/>
        <w:t>Consequences Data</w:t>
      </w:r>
    </w:p>
    <w:p w:rsidR="001B70B4" w:rsidRPr="003C5252" w:rsidRDefault="00AF3CE3" w:rsidP="001B70B4">
      <w:pPr>
        <w:rPr>
          <w:rFonts w:cstheme="minorHAnsi"/>
          <w:b/>
          <w:sz w:val="24"/>
          <w:szCs w:val="24"/>
        </w:rPr>
      </w:pPr>
      <w:r>
        <w:rPr>
          <w:rFonts w:cstheme="minorHAnsi"/>
          <w:b/>
          <w:sz w:val="24"/>
          <w:szCs w:val="24"/>
        </w:rPr>
        <w:tab/>
      </w:r>
      <w:r>
        <w:rPr>
          <w:rFonts w:cstheme="minorHAnsi"/>
          <w:b/>
          <w:sz w:val="24"/>
          <w:szCs w:val="24"/>
        </w:rPr>
        <w:tab/>
        <w:t xml:space="preserve">        Table 9</w:t>
      </w:r>
      <w:r w:rsidR="001B70B4" w:rsidRPr="003C5252">
        <w:rPr>
          <w:rFonts w:cstheme="minorHAnsi"/>
          <w:b/>
          <w:sz w:val="24"/>
          <w:szCs w:val="24"/>
        </w:rPr>
        <w:t>:  Nonmedical use of Prescription Drug Consequences</w:t>
      </w:r>
      <w:r w:rsidR="001B70B4" w:rsidRPr="003C5252">
        <w:rPr>
          <w:rFonts w:cstheme="minorHAnsi"/>
          <w:b/>
          <w:sz w:val="24"/>
          <w:szCs w:val="24"/>
        </w:rPr>
        <w:tab/>
      </w:r>
      <w:r w:rsidR="001B70B4" w:rsidRPr="003C5252">
        <w:rPr>
          <w:rFonts w:cstheme="minorHAnsi"/>
          <w:b/>
          <w:sz w:val="24"/>
          <w:szCs w:val="24"/>
        </w:rPr>
        <w:tab/>
      </w:r>
    </w:p>
    <w:tbl>
      <w:tblPr>
        <w:tblStyle w:val="MediumShading1111"/>
        <w:tblpPr w:leftFromText="180" w:rightFromText="180" w:vertAnchor="text" w:horzAnchor="margin" w:tblpXSpec="center" w:tblpY="2"/>
        <w:tblW w:w="7128" w:type="dxa"/>
        <w:tblLayout w:type="fixed"/>
        <w:tblLook w:val="04A0" w:firstRow="1" w:lastRow="0" w:firstColumn="1" w:lastColumn="0" w:noHBand="0" w:noVBand="1"/>
      </w:tblPr>
      <w:tblGrid>
        <w:gridCol w:w="1507"/>
        <w:gridCol w:w="924"/>
        <w:gridCol w:w="1007"/>
        <w:gridCol w:w="720"/>
        <w:gridCol w:w="717"/>
        <w:gridCol w:w="1062"/>
        <w:gridCol w:w="1169"/>
        <w:gridCol w:w="22"/>
      </w:tblGrid>
      <w:tr w:rsidR="001B70B4" w:rsidRPr="003C5252" w:rsidTr="00B033F6">
        <w:trPr>
          <w:cnfStyle w:val="100000000000" w:firstRow="1" w:lastRow="0" w:firstColumn="0" w:lastColumn="0" w:oddVBand="0" w:evenVBand="0" w:oddHBand="0"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507" w:type="dxa"/>
            <w:vMerge w:val="restart"/>
            <w:tcBorders>
              <w:bottom w:val="threeDEngrave" w:sz="12" w:space="0" w:color="auto"/>
              <w:right w:val="threeDEngrave" w:sz="12" w:space="0" w:color="auto"/>
            </w:tcBorders>
            <w:shd w:val="clear" w:color="auto" w:fill="BFBFBF" w:themeFill="background1" w:themeFillShade="BF"/>
            <w:hideMark/>
          </w:tcPr>
          <w:p w:rsidR="001B70B4" w:rsidRPr="003C5252" w:rsidRDefault="001B70B4" w:rsidP="001237B1">
            <w:pPr>
              <w:rPr>
                <w:rFonts w:eastAsia="Times New Roman" w:cstheme="minorHAnsi"/>
                <w:color w:val="000000"/>
              </w:rPr>
            </w:pPr>
            <w:r w:rsidRPr="003C5252">
              <w:rPr>
                <w:rFonts w:eastAsia="Times New Roman" w:cstheme="minorHAnsi"/>
                <w:color w:val="000000"/>
              </w:rPr>
              <w:t> </w:t>
            </w:r>
          </w:p>
          <w:p w:rsidR="001B70B4" w:rsidRPr="003C5252" w:rsidRDefault="001B70B4" w:rsidP="001237B1">
            <w:pPr>
              <w:rPr>
                <w:rFonts w:eastAsia="Times New Roman" w:cstheme="minorHAnsi"/>
                <w:color w:val="000000"/>
              </w:rPr>
            </w:pPr>
          </w:p>
          <w:p w:rsidR="001B70B4" w:rsidRPr="003C5252" w:rsidRDefault="001B70B4" w:rsidP="001237B1">
            <w:pPr>
              <w:rPr>
                <w:rFonts w:eastAsia="Times New Roman" w:cstheme="minorHAnsi"/>
                <w:color w:val="000000"/>
              </w:rPr>
            </w:pPr>
          </w:p>
          <w:p w:rsidR="001B70B4" w:rsidRPr="003C5252" w:rsidRDefault="001B70B4" w:rsidP="001237B1">
            <w:pPr>
              <w:rPr>
                <w:rFonts w:eastAsia="Times New Roman" w:cstheme="minorHAnsi"/>
                <w:color w:val="000000"/>
              </w:rPr>
            </w:pPr>
          </w:p>
          <w:p w:rsidR="001B70B4" w:rsidRPr="003C5252" w:rsidRDefault="001B70B4" w:rsidP="001237B1">
            <w:pPr>
              <w:rPr>
                <w:rFonts w:eastAsia="Times New Roman" w:cstheme="minorHAnsi"/>
                <w:color w:val="000000"/>
              </w:rPr>
            </w:pPr>
          </w:p>
          <w:p w:rsidR="001B70B4" w:rsidRPr="003C5252" w:rsidRDefault="001B70B4" w:rsidP="001237B1">
            <w:pPr>
              <w:rPr>
                <w:rFonts w:eastAsia="Times New Roman" w:cstheme="minorHAnsi"/>
                <w:color w:val="000000"/>
              </w:rPr>
            </w:pPr>
            <w:r w:rsidRPr="003C5252">
              <w:rPr>
                <w:rFonts w:eastAsia="Times New Roman" w:cstheme="minorHAnsi"/>
                <w:color w:val="000000"/>
              </w:rPr>
              <w:t> </w:t>
            </w:r>
          </w:p>
        </w:tc>
        <w:tc>
          <w:tcPr>
            <w:tcW w:w="1931" w:type="dxa"/>
            <w:gridSpan w:val="2"/>
            <w:tcBorders>
              <w:left w:val="threeDEngrave" w:sz="12" w:space="0" w:color="auto"/>
              <w:bottom w:val="threeDEngrave" w:sz="12" w:space="0" w:color="auto"/>
              <w:right w:val="threeDEngrave" w:sz="12" w:space="0" w:color="auto"/>
            </w:tcBorders>
            <w:vAlign w:val="center"/>
            <w:hideMark/>
          </w:tcPr>
          <w:p w:rsidR="001B70B4" w:rsidRPr="003C5252" w:rsidRDefault="001B70B4"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rPr>
            </w:pPr>
            <w:r w:rsidRPr="003C5252">
              <w:rPr>
                <w:rFonts w:eastAsia="Times New Roman" w:cstheme="minorHAnsi"/>
                <w:color w:val="FFFFFF"/>
              </w:rPr>
              <w:t>Property Crime</w:t>
            </w:r>
          </w:p>
          <w:p w:rsidR="001B70B4" w:rsidRPr="003C5252" w:rsidRDefault="00B22F86"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rPr>
            </w:pPr>
            <w:r>
              <w:rPr>
                <w:rFonts w:eastAsia="Times New Roman" w:cstheme="minorHAnsi"/>
                <w:color w:val="FFFFFF"/>
              </w:rPr>
              <w:t>2015-2016</w:t>
            </w:r>
          </w:p>
        </w:tc>
        <w:tc>
          <w:tcPr>
            <w:tcW w:w="1437" w:type="dxa"/>
            <w:gridSpan w:val="2"/>
            <w:tcBorders>
              <w:left w:val="threeDEngrave" w:sz="12" w:space="0" w:color="auto"/>
              <w:bottom w:val="threeDEngrave" w:sz="12" w:space="0" w:color="auto"/>
              <w:right w:val="threeDEngrave" w:sz="12" w:space="0" w:color="auto"/>
            </w:tcBorders>
            <w:vAlign w:val="center"/>
          </w:tcPr>
          <w:p w:rsidR="001B70B4" w:rsidRPr="003C5252" w:rsidRDefault="001B70B4"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rPr>
            </w:pPr>
            <w:r w:rsidRPr="003C5252">
              <w:rPr>
                <w:rFonts w:eastAsia="Times New Roman" w:cstheme="minorHAnsi"/>
                <w:color w:val="FFFFFF"/>
              </w:rPr>
              <w:t>Opioid Analgesic Deaths</w:t>
            </w:r>
          </w:p>
          <w:p w:rsidR="001B70B4" w:rsidRPr="003C5252" w:rsidRDefault="0023078D"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rPr>
            </w:pPr>
            <w:r>
              <w:rPr>
                <w:rFonts w:eastAsia="Times New Roman" w:cstheme="minorHAnsi"/>
                <w:color w:val="FFFFFF"/>
              </w:rPr>
              <w:t>2007</w:t>
            </w:r>
            <w:r w:rsidR="004E3801">
              <w:rPr>
                <w:rFonts w:eastAsia="Times New Roman" w:cstheme="minorHAnsi"/>
                <w:color w:val="FFFFFF"/>
              </w:rPr>
              <w:t>-2016</w:t>
            </w:r>
          </w:p>
        </w:tc>
        <w:tc>
          <w:tcPr>
            <w:tcW w:w="2253" w:type="dxa"/>
            <w:gridSpan w:val="3"/>
            <w:tcBorders>
              <w:left w:val="threeDEngrave" w:sz="12" w:space="0" w:color="auto"/>
              <w:bottom w:val="threeDEngrave" w:sz="12" w:space="0" w:color="auto"/>
            </w:tcBorders>
            <w:vAlign w:val="center"/>
          </w:tcPr>
          <w:p w:rsidR="001B70B4" w:rsidRPr="003C5252" w:rsidRDefault="001B70B4"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rPr>
            </w:pPr>
            <w:r>
              <w:rPr>
                <w:rFonts w:eastAsia="Times New Roman" w:cstheme="minorHAnsi"/>
                <w:color w:val="FFFFFF"/>
              </w:rPr>
              <w:t>ODMHSAS Opioid</w:t>
            </w:r>
            <w:r w:rsidRPr="003C5252">
              <w:rPr>
                <w:rFonts w:eastAsia="Times New Roman" w:cstheme="minorHAnsi"/>
                <w:color w:val="FFFFFF"/>
              </w:rPr>
              <w:t xml:space="preserve"> Treatment Admissions</w:t>
            </w:r>
          </w:p>
          <w:p w:rsidR="001B70B4" w:rsidRPr="003C5252" w:rsidRDefault="0080719B" w:rsidP="001237B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rPr>
            </w:pPr>
            <w:r>
              <w:rPr>
                <w:rFonts w:eastAsia="Times New Roman" w:cstheme="minorHAnsi"/>
                <w:color w:val="FFFFFF"/>
              </w:rPr>
              <w:t>2015-</w:t>
            </w:r>
            <w:r w:rsidR="001B70B4">
              <w:rPr>
                <w:rFonts w:eastAsia="Times New Roman" w:cstheme="minorHAnsi"/>
                <w:color w:val="FFFFFF"/>
              </w:rPr>
              <w:t>2016</w:t>
            </w:r>
          </w:p>
        </w:tc>
      </w:tr>
      <w:tr w:rsidR="001B70B4" w:rsidRPr="003C5252" w:rsidTr="003B121A">
        <w:trPr>
          <w:gridAfter w:val="1"/>
          <w:cnfStyle w:val="000000100000" w:firstRow="0" w:lastRow="0" w:firstColumn="0" w:lastColumn="0" w:oddVBand="0" w:evenVBand="0" w:oddHBand="1" w:evenHBand="0" w:firstRowFirstColumn="0" w:firstRowLastColumn="0" w:lastRowFirstColumn="0" w:lastRowLastColumn="0"/>
          <w:wAfter w:w="22" w:type="dxa"/>
          <w:trHeight w:val="972"/>
        </w:trPr>
        <w:tc>
          <w:tcPr>
            <w:cnfStyle w:val="001000000000" w:firstRow="0" w:lastRow="0" w:firstColumn="1" w:lastColumn="0" w:oddVBand="0" w:evenVBand="0" w:oddHBand="0" w:evenHBand="0" w:firstRowFirstColumn="0" w:firstRowLastColumn="0" w:lastRowFirstColumn="0" w:lastRowLastColumn="0"/>
            <w:tcW w:w="1507" w:type="dxa"/>
            <w:vMerge/>
            <w:tcBorders>
              <w:top w:val="threeDEngrave" w:sz="12" w:space="0" w:color="auto"/>
              <w:right w:val="threeDEngrave" w:sz="12" w:space="0" w:color="auto"/>
            </w:tcBorders>
            <w:shd w:val="clear" w:color="auto" w:fill="BFBFBF" w:themeFill="background1" w:themeFillShade="BF"/>
            <w:hideMark/>
          </w:tcPr>
          <w:p w:rsidR="001B70B4" w:rsidRPr="003C5252" w:rsidRDefault="001B70B4" w:rsidP="001237B1">
            <w:pPr>
              <w:rPr>
                <w:rFonts w:eastAsia="Times New Roman" w:cstheme="minorHAnsi"/>
                <w:color w:val="000000"/>
              </w:rPr>
            </w:pPr>
          </w:p>
        </w:tc>
        <w:tc>
          <w:tcPr>
            <w:tcW w:w="924" w:type="dxa"/>
            <w:tcBorders>
              <w:top w:val="threeDEngrave" w:sz="12" w:space="0" w:color="auto"/>
              <w:left w:val="threeDEngrave" w:sz="12" w:space="0" w:color="auto"/>
              <w:right w:val="threeDEngrave" w:sz="12" w:space="0" w:color="auto"/>
            </w:tcBorders>
            <w:textDirection w:val="btLr"/>
            <w:vAlign w:val="center"/>
            <w:hideMark/>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3C5252">
              <w:rPr>
                <w:rFonts w:eastAsia="Times New Roman" w:cstheme="minorHAnsi"/>
                <w:b/>
                <w:color w:val="000000"/>
              </w:rPr>
              <w:t>#</w:t>
            </w:r>
          </w:p>
        </w:tc>
        <w:tc>
          <w:tcPr>
            <w:tcW w:w="1007" w:type="dxa"/>
            <w:tcBorders>
              <w:top w:val="threeDEngrave" w:sz="12" w:space="0" w:color="auto"/>
              <w:left w:val="threeDEngrave" w:sz="12" w:space="0" w:color="auto"/>
              <w:right w:val="threeDEngrave" w:sz="12" w:space="0" w:color="auto"/>
            </w:tcBorders>
            <w:textDirection w:val="btLr"/>
            <w:vAlign w:val="center"/>
            <w:hideMark/>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3C5252">
              <w:rPr>
                <w:rFonts w:eastAsia="Times New Roman" w:cstheme="minorHAnsi"/>
                <w:b/>
                <w:color w:val="000000"/>
              </w:rPr>
              <w:t>Rate*</w:t>
            </w:r>
          </w:p>
        </w:tc>
        <w:tc>
          <w:tcPr>
            <w:tcW w:w="720" w:type="dxa"/>
            <w:tcBorders>
              <w:top w:val="threeDEngrave" w:sz="12" w:space="0" w:color="auto"/>
              <w:left w:val="threeDEngrave" w:sz="12" w:space="0" w:color="auto"/>
              <w:right w:val="threeDEngrave" w:sz="12" w:space="0" w:color="auto"/>
            </w:tcBorders>
            <w:textDirection w:val="btLr"/>
            <w:vAlign w:val="center"/>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3C5252">
              <w:rPr>
                <w:rFonts w:eastAsia="Times New Roman" w:cstheme="minorHAnsi"/>
                <w:b/>
                <w:color w:val="000000"/>
              </w:rPr>
              <w:t>#</w:t>
            </w:r>
          </w:p>
        </w:tc>
        <w:tc>
          <w:tcPr>
            <w:tcW w:w="717" w:type="dxa"/>
            <w:tcBorders>
              <w:top w:val="threeDEngrave" w:sz="12" w:space="0" w:color="auto"/>
              <w:left w:val="threeDEngrave" w:sz="12" w:space="0" w:color="auto"/>
              <w:right w:val="threeDEngrave" w:sz="12" w:space="0" w:color="auto"/>
            </w:tcBorders>
            <w:textDirection w:val="btLr"/>
            <w:vAlign w:val="center"/>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3C5252">
              <w:rPr>
                <w:rFonts w:eastAsia="Times New Roman" w:cstheme="minorHAnsi"/>
                <w:b/>
                <w:color w:val="000000"/>
              </w:rPr>
              <w:t>Rate^</w:t>
            </w:r>
          </w:p>
        </w:tc>
        <w:tc>
          <w:tcPr>
            <w:tcW w:w="1062" w:type="dxa"/>
            <w:tcBorders>
              <w:top w:val="threeDEngrave" w:sz="12" w:space="0" w:color="auto"/>
              <w:left w:val="threeDEngrave" w:sz="12" w:space="0" w:color="auto"/>
              <w:right w:val="threeDEngrave" w:sz="12" w:space="0" w:color="auto"/>
            </w:tcBorders>
            <w:textDirection w:val="btLr"/>
            <w:vAlign w:val="center"/>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3C5252">
              <w:rPr>
                <w:rFonts w:eastAsia="Times New Roman" w:cstheme="minorHAnsi"/>
                <w:b/>
                <w:color w:val="000000"/>
              </w:rPr>
              <w:t>#</w:t>
            </w:r>
          </w:p>
        </w:tc>
        <w:tc>
          <w:tcPr>
            <w:tcW w:w="1169" w:type="dxa"/>
            <w:tcBorders>
              <w:top w:val="threeDEngrave" w:sz="12" w:space="0" w:color="auto"/>
              <w:left w:val="threeDEngrave" w:sz="12" w:space="0" w:color="auto"/>
            </w:tcBorders>
            <w:textDirection w:val="btLr"/>
            <w:vAlign w:val="center"/>
          </w:tcPr>
          <w:p w:rsidR="001B70B4" w:rsidRPr="003C5252" w:rsidRDefault="001B70B4"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rPr>
            </w:pPr>
            <w:r w:rsidRPr="003C5252">
              <w:rPr>
                <w:rFonts w:eastAsia="Times New Roman" w:cstheme="minorHAnsi"/>
                <w:b/>
                <w:color w:val="000000"/>
              </w:rPr>
              <w:t>Rate*</w:t>
            </w:r>
          </w:p>
        </w:tc>
      </w:tr>
      <w:tr w:rsidR="008817C2" w:rsidRPr="003C5252" w:rsidTr="003B121A">
        <w:trPr>
          <w:gridAfter w:val="1"/>
          <w:cnfStyle w:val="000000010000" w:firstRow="0" w:lastRow="0" w:firstColumn="0" w:lastColumn="0" w:oddVBand="0" w:evenVBand="0" w:oddHBand="0" w:evenHBand="1" w:firstRowFirstColumn="0" w:firstRowLastColumn="0" w:lastRowFirstColumn="0" w:lastRowLastColumn="0"/>
          <w:wAfter w:w="22" w:type="dxa"/>
          <w:trHeight w:val="335"/>
        </w:trPr>
        <w:tc>
          <w:tcPr>
            <w:cnfStyle w:val="001000000000" w:firstRow="0" w:lastRow="0" w:firstColumn="1" w:lastColumn="0" w:oddVBand="0" w:evenVBand="0" w:oddHBand="0" w:evenHBand="0" w:firstRowFirstColumn="0" w:firstRowLastColumn="0" w:lastRowFirstColumn="0" w:lastRowLastColumn="0"/>
            <w:tcW w:w="1507" w:type="dxa"/>
            <w:vAlign w:val="center"/>
          </w:tcPr>
          <w:p w:rsidR="008817C2" w:rsidRPr="003C5252" w:rsidRDefault="008817C2" w:rsidP="001237B1">
            <w:pPr>
              <w:rPr>
                <w:rFonts w:eastAsia="Times New Roman" w:cstheme="minorHAnsi"/>
              </w:rPr>
            </w:pPr>
            <w:r>
              <w:rPr>
                <w:rFonts w:eastAsia="Times New Roman" w:cstheme="minorHAnsi"/>
              </w:rPr>
              <w:t>OK</w:t>
            </w:r>
          </w:p>
        </w:tc>
        <w:tc>
          <w:tcPr>
            <w:tcW w:w="924" w:type="dxa"/>
            <w:vAlign w:val="center"/>
          </w:tcPr>
          <w:p w:rsidR="008817C2" w:rsidRPr="003C5252" w:rsidRDefault="00B22F8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231092</w:t>
            </w:r>
          </w:p>
        </w:tc>
        <w:tc>
          <w:tcPr>
            <w:tcW w:w="1007" w:type="dxa"/>
            <w:vAlign w:val="center"/>
          </w:tcPr>
          <w:p w:rsidR="008817C2" w:rsidRPr="003C5252" w:rsidRDefault="00F70584"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30.8</w:t>
            </w:r>
          </w:p>
        </w:tc>
        <w:tc>
          <w:tcPr>
            <w:tcW w:w="720" w:type="dxa"/>
            <w:vAlign w:val="center"/>
          </w:tcPr>
          <w:p w:rsidR="008817C2" w:rsidRPr="003C5252" w:rsidRDefault="003B121A"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4633</w:t>
            </w:r>
          </w:p>
        </w:tc>
        <w:tc>
          <w:tcPr>
            <w:tcW w:w="717" w:type="dxa"/>
            <w:vAlign w:val="center"/>
          </w:tcPr>
          <w:p w:rsidR="008817C2" w:rsidRDefault="003B121A"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12.4</w:t>
            </w:r>
          </w:p>
        </w:tc>
        <w:tc>
          <w:tcPr>
            <w:tcW w:w="1062" w:type="dxa"/>
            <w:vAlign w:val="center"/>
          </w:tcPr>
          <w:p w:rsidR="008817C2" w:rsidRPr="00E16EE7" w:rsidRDefault="006C0467"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E16EE7">
              <w:rPr>
                <w:rFonts w:eastAsia="Times New Roman" w:cstheme="minorHAnsi"/>
              </w:rPr>
              <w:t>4166</w:t>
            </w:r>
          </w:p>
        </w:tc>
        <w:tc>
          <w:tcPr>
            <w:tcW w:w="1169" w:type="dxa"/>
            <w:vAlign w:val="center"/>
          </w:tcPr>
          <w:p w:rsidR="008817C2" w:rsidRPr="00E16EE7" w:rsidRDefault="006C0467"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E16EE7">
              <w:rPr>
                <w:rFonts w:eastAsia="Times New Roman" w:cstheme="minorHAnsi"/>
              </w:rPr>
              <w:t>0.6</w:t>
            </w:r>
          </w:p>
        </w:tc>
      </w:tr>
      <w:tr w:rsidR="001B70B4" w:rsidRPr="003C5252" w:rsidTr="003B121A">
        <w:trPr>
          <w:gridAfter w:val="1"/>
          <w:cnfStyle w:val="000000100000" w:firstRow="0" w:lastRow="0" w:firstColumn="0" w:lastColumn="0" w:oddVBand="0" w:evenVBand="0" w:oddHBand="1" w:evenHBand="0" w:firstRowFirstColumn="0" w:firstRowLastColumn="0" w:lastRowFirstColumn="0" w:lastRowLastColumn="0"/>
          <w:wAfter w:w="22" w:type="dxa"/>
          <w:trHeight w:val="335"/>
        </w:trPr>
        <w:tc>
          <w:tcPr>
            <w:cnfStyle w:val="001000000000" w:firstRow="0" w:lastRow="0" w:firstColumn="1" w:lastColumn="0" w:oddVBand="0" w:evenVBand="0" w:oddHBand="0" w:evenHBand="0" w:firstRowFirstColumn="0" w:firstRowLastColumn="0" w:lastRowFirstColumn="0" w:lastRowLastColumn="0"/>
            <w:tcW w:w="1507" w:type="dxa"/>
            <w:vAlign w:val="center"/>
            <w:hideMark/>
          </w:tcPr>
          <w:p w:rsidR="001B70B4" w:rsidRPr="003C5252" w:rsidRDefault="001B70B4" w:rsidP="001237B1">
            <w:pPr>
              <w:rPr>
                <w:rFonts w:eastAsia="Times New Roman" w:cstheme="minorHAnsi"/>
              </w:rPr>
            </w:pPr>
            <w:r w:rsidRPr="003C5252">
              <w:rPr>
                <w:rFonts w:eastAsia="Times New Roman" w:cstheme="minorHAnsi"/>
              </w:rPr>
              <w:t>Bryan</w:t>
            </w:r>
          </w:p>
        </w:tc>
        <w:tc>
          <w:tcPr>
            <w:tcW w:w="924" w:type="dxa"/>
            <w:vAlign w:val="center"/>
            <w:hideMark/>
          </w:tcPr>
          <w:p w:rsidR="001B70B4" w:rsidRPr="003C5252" w:rsidRDefault="00B033F6"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1000</w:t>
            </w:r>
            <w:r w:rsidRPr="003C5252">
              <w:rPr>
                <w:rFonts w:eastAsia="Times New Roman" w:cs="Calibri"/>
                <w:color w:val="000000"/>
                <w:kern w:val="28"/>
                <w:vertAlign w:val="superscript"/>
              </w:rPr>
              <w:t>#</w:t>
            </w:r>
          </w:p>
        </w:tc>
        <w:tc>
          <w:tcPr>
            <w:tcW w:w="1007" w:type="dxa"/>
            <w:vAlign w:val="center"/>
            <w:hideMark/>
          </w:tcPr>
          <w:p w:rsidR="001B70B4" w:rsidRPr="003C5252" w:rsidRDefault="00B033F6"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23.6</w:t>
            </w:r>
          </w:p>
        </w:tc>
        <w:tc>
          <w:tcPr>
            <w:tcW w:w="720" w:type="dxa"/>
            <w:vAlign w:val="center"/>
            <w:hideMark/>
          </w:tcPr>
          <w:p w:rsidR="001B70B4" w:rsidRPr="003C5252" w:rsidRDefault="003B121A"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68</w:t>
            </w:r>
          </w:p>
        </w:tc>
        <w:tc>
          <w:tcPr>
            <w:tcW w:w="717" w:type="dxa"/>
            <w:vAlign w:val="center"/>
            <w:hideMark/>
          </w:tcPr>
          <w:p w:rsidR="001B70B4" w:rsidRPr="003C5252" w:rsidRDefault="003B121A"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16.0</w:t>
            </w:r>
          </w:p>
        </w:tc>
        <w:tc>
          <w:tcPr>
            <w:tcW w:w="1062" w:type="dxa"/>
            <w:vAlign w:val="center"/>
            <w:hideMark/>
          </w:tcPr>
          <w:p w:rsidR="001B70B4" w:rsidRPr="00E16EE7" w:rsidRDefault="006C0467"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16EE7">
              <w:rPr>
                <w:rFonts w:eastAsia="Times New Roman" w:cstheme="minorHAnsi"/>
              </w:rPr>
              <w:t>42</w:t>
            </w:r>
          </w:p>
        </w:tc>
        <w:tc>
          <w:tcPr>
            <w:tcW w:w="1169" w:type="dxa"/>
            <w:vAlign w:val="center"/>
            <w:hideMark/>
          </w:tcPr>
          <w:p w:rsidR="001B70B4" w:rsidRPr="00E16EE7" w:rsidRDefault="006C0467"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16EE7">
              <w:rPr>
                <w:rFonts w:eastAsia="Times New Roman" w:cstheme="minorHAnsi"/>
              </w:rPr>
              <w:t>0.5</w:t>
            </w:r>
          </w:p>
        </w:tc>
      </w:tr>
      <w:tr w:rsidR="001B70B4" w:rsidRPr="003C5252" w:rsidTr="003B121A">
        <w:trPr>
          <w:gridAfter w:val="1"/>
          <w:cnfStyle w:val="000000010000" w:firstRow="0" w:lastRow="0" w:firstColumn="0" w:lastColumn="0" w:oddVBand="0" w:evenVBand="0" w:oddHBand="0" w:evenHBand="1" w:firstRowFirstColumn="0" w:firstRowLastColumn="0" w:lastRowFirstColumn="0" w:lastRowLastColumn="0"/>
          <w:wAfter w:w="22" w:type="dxa"/>
          <w:trHeight w:val="335"/>
        </w:trPr>
        <w:tc>
          <w:tcPr>
            <w:cnfStyle w:val="001000000000" w:firstRow="0" w:lastRow="0" w:firstColumn="1" w:lastColumn="0" w:oddVBand="0" w:evenVBand="0" w:oddHBand="0" w:evenHBand="0" w:firstRowFirstColumn="0" w:firstRowLastColumn="0" w:lastRowFirstColumn="0" w:lastRowLastColumn="0"/>
            <w:tcW w:w="1507" w:type="dxa"/>
            <w:vAlign w:val="center"/>
            <w:hideMark/>
          </w:tcPr>
          <w:p w:rsidR="001B70B4" w:rsidRPr="003C5252" w:rsidRDefault="001B70B4" w:rsidP="001237B1">
            <w:pPr>
              <w:rPr>
                <w:rFonts w:eastAsia="Times New Roman" w:cstheme="minorHAnsi"/>
              </w:rPr>
            </w:pPr>
            <w:r w:rsidRPr="003C5252">
              <w:rPr>
                <w:rFonts w:eastAsia="Times New Roman" w:cstheme="minorHAnsi"/>
              </w:rPr>
              <w:t>Carter</w:t>
            </w:r>
          </w:p>
        </w:tc>
        <w:tc>
          <w:tcPr>
            <w:tcW w:w="924" w:type="dxa"/>
            <w:vAlign w:val="center"/>
            <w:hideMark/>
          </w:tcPr>
          <w:p w:rsidR="001B70B4" w:rsidRPr="003C5252" w:rsidRDefault="00B033F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397</w:t>
            </w:r>
          </w:p>
        </w:tc>
        <w:tc>
          <w:tcPr>
            <w:tcW w:w="1007" w:type="dxa"/>
            <w:vAlign w:val="center"/>
            <w:hideMark/>
          </w:tcPr>
          <w:p w:rsidR="001B70B4" w:rsidRPr="003C5252" w:rsidRDefault="00B033F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4.2</w:t>
            </w:r>
          </w:p>
        </w:tc>
        <w:tc>
          <w:tcPr>
            <w:tcW w:w="720" w:type="dxa"/>
            <w:vAlign w:val="center"/>
            <w:hideMark/>
          </w:tcPr>
          <w:p w:rsidR="001B70B4" w:rsidRPr="003C5252" w:rsidRDefault="003B121A"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94</w:t>
            </w:r>
          </w:p>
        </w:tc>
        <w:tc>
          <w:tcPr>
            <w:tcW w:w="717" w:type="dxa"/>
            <w:vAlign w:val="center"/>
            <w:hideMark/>
          </w:tcPr>
          <w:p w:rsidR="001B70B4" w:rsidRPr="003C5252" w:rsidRDefault="00F53208"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19.8</w:t>
            </w:r>
          </w:p>
        </w:tc>
        <w:tc>
          <w:tcPr>
            <w:tcW w:w="1062" w:type="dxa"/>
            <w:vAlign w:val="center"/>
            <w:hideMark/>
          </w:tcPr>
          <w:p w:rsidR="001B70B4" w:rsidRPr="00E16EE7" w:rsidRDefault="00F76887"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E16EE7">
              <w:rPr>
                <w:rFonts w:eastAsia="Times New Roman" w:cstheme="minorHAnsi"/>
              </w:rPr>
              <w:t>39</w:t>
            </w:r>
          </w:p>
        </w:tc>
        <w:tc>
          <w:tcPr>
            <w:tcW w:w="1169" w:type="dxa"/>
            <w:vAlign w:val="center"/>
            <w:hideMark/>
          </w:tcPr>
          <w:p w:rsidR="001B70B4" w:rsidRPr="00E16EE7" w:rsidRDefault="00F76887"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E16EE7">
              <w:rPr>
                <w:rFonts w:eastAsia="Times New Roman" w:cstheme="minorHAnsi"/>
              </w:rPr>
              <w:t>0.4</w:t>
            </w:r>
          </w:p>
        </w:tc>
      </w:tr>
      <w:tr w:rsidR="001B70B4" w:rsidRPr="003C5252" w:rsidTr="003B121A">
        <w:trPr>
          <w:gridAfter w:val="1"/>
          <w:cnfStyle w:val="000000100000" w:firstRow="0" w:lastRow="0" w:firstColumn="0" w:lastColumn="0" w:oddVBand="0" w:evenVBand="0" w:oddHBand="1" w:evenHBand="0" w:firstRowFirstColumn="0" w:firstRowLastColumn="0" w:lastRowFirstColumn="0" w:lastRowLastColumn="0"/>
          <w:wAfter w:w="22" w:type="dxa"/>
          <w:trHeight w:val="335"/>
        </w:trPr>
        <w:tc>
          <w:tcPr>
            <w:cnfStyle w:val="001000000000" w:firstRow="0" w:lastRow="0" w:firstColumn="1" w:lastColumn="0" w:oddVBand="0" w:evenVBand="0" w:oddHBand="0" w:evenHBand="0" w:firstRowFirstColumn="0" w:firstRowLastColumn="0" w:lastRowFirstColumn="0" w:lastRowLastColumn="0"/>
            <w:tcW w:w="1507" w:type="dxa"/>
            <w:vAlign w:val="center"/>
          </w:tcPr>
          <w:p w:rsidR="001B70B4" w:rsidRPr="003C5252" w:rsidRDefault="001B70B4" w:rsidP="001237B1">
            <w:pPr>
              <w:rPr>
                <w:rFonts w:eastAsia="Times New Roman" w:cstheme="minorHAnsi"/>
              </w:rPr>
            </w:pPr>
            <w:r w:rsidRPr="003C5252">
              <w:rPr>
                <w:rFonts w:eastAsia="Times New Roman" w:cstheme="minorHAnsi"/>
              </w:rPr>
              <w:t>Garvin</w:t>
            </w:r>
          </w:p>
        </w:tc>
        <w:tc>
          <w:tcPr>
            <w:tcW w:w="924" w:type="dxa"/>
            <w:vAlign w:val="center"/>
          </w:tcPr>
          <w:p w:rsidR="001B70B4" w:rsidRPr="003C5252" w:rsidRDefault="00B033F6"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583</w:t>
            </w:r>
          </w:p>
        </w:tc>
        <w:tc>
          <w:tcPr>
            <w:tcW w:w="1007" w:type="dxa"/>
            <w:vAlign w:val="center"/>
          </w:tcPr>
          <w:p w:rsidR="001B70B4" w:rsidRPr="003C5252" w:rsidRDefault="00B033F6"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10.6</w:t>
            </w:r>
          </w:p>
        </w:tc>
        <w:tc>
          <w:tcPr>
            <w:tcW w:w="720" w:type="dxa"/>
            <w:vAlign w:val="center"/>
          </w:tcPr>
          <w:p w:rsidR="001B70B4" w:rsidRPr="003C5252" w:rsidRDefault="00F53208"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41</w:t>
            </w:r>
          </w:p>
        </w:tc>
        <w:tc>
          <w:tcPr>
            <w:tcW w:w="717" w:type="dxa"/>
            <w:vAlign w:val="center"/>
          </w:tcPr>
          <w:p w:rsidR="001B70B4" w:rsidRPr="003C5252" w:rsidRDefault="00F53208"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14.9</w:t>
            </w:r>
          </w:p>
        </w:tc>
        <w:tc>
          <w:tcPr>
            <w:tcW w:w="1062" w:type="dxa"/>
            <w:vAlign w:val="center"/>
          </w:tcPr>
          <w:p w:rsidR="001B70B4" w:rsidRPr="00E16EE7" w:rsidRDefault="00F76887"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16EE7">
              <w:rPr>
                <w:rFonts w:eastAsia="Times New Roman" w:cstheme="minorHAnsi"/>
              </w:rPr>
              <w:t>23</w:t>
            </w:r>
          </w:p>
        </w:tc>
        <w:tc>
          <w:tcPr>
            <w:tcW w:w="1169" w:type="dxa"/>
            <w:vAlign w:val="center"/>
          </w:tcPr>
          <w:p w:rsidR="001B70B4" w:rsidRPr="00E16EE7" w:rsidRDefault="00F76887"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16EE7">
              <w:rPr>
                <w:rFonts w:eastAsia="Times New Roman" w:cstheme="minorHAnsi"/>
              </w:rPr>
              <w:t>0.4</w:t>
            </w:r>
          </w:p>
        </w:tc>
      </w:tr>
      <w:tr w:rsidR="001B70B4" w:rsidRPr="003C5252" w:rsidTr="003B121A">
        <w:trPr>
          <w:gridAfter w:val="1"/>
          <w:cnfStyle w:val="000000010000" w:firstRow="0" w:lastRow="0" w:firstColumn="0" w:lastColumn="0" w:oddVBand="0" w:evenVBand="0" w:oddHBand="0" w:evenHBand="1" w:firstRowFirstColumn="0" w:firstRowLastColumn="0" w:lastRowFirstColumn="0" w:lastRowLastColumn="0"/>
          <w:wAfter w:w="22" w:type="dxa"/>
          <w:trHeight w:val="335"/>
        </w:trPr>
        <w:tc>
          <w:tcPr>
            <w:cnfStyle w:val="001000000000" w:firstRow="0" w:lastRow="0" w:firstColumn="1" w:lastColumn="0" w:oddVBand="0" w:evenVBand="0" w:oddHBand="0" w:evenHBand="0" w:firstRowFirstColumn="0" w:firstRowLastColumn="0" w:lastRowFirstColumn="0" w:lastRowLastColumn="0"/>
            <w:tcW w:w="1507" w:type="dxa"/>
            <w:vAlign w:val="center"/>
          </w:tcPr>
          <w:p w:rsidR="001B70B4" w:rsidRPr="003C5252" w:rsidRDefault="001B70B4" w:rsidP="001237B1">
            <w:pPr>
              <w:rPr>
                <w:rFonts w:eastAsia="Times New Roman" w:cstheme="minorHAnsi"/>
              </w:rPr>
            </w:pPr>
            <w:r w:rsidRPr="003C5252">
              <w:rPr>
                <w:rFonts w:eastAsia="Times New Roman" w:cstheme="minorHAnsi"/>
              </w:rPr>
              <w:t>Johnston</w:t>
            </w:r>
          </w:p>
        </w:tc>
        <w:tc>
          <w:tcPr>
            <w:tcW w:w="924" w:type="dxa"/>
            <w:vAlign w:val="center"/>
          </w:tcPr>
          <w:p w:rsidR="001B70B4" w:rsidRPr="003C5252" w:rsidRDefault="00B033F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187</w:t>
            </w:r>
          </w:p>
        </w:tc>
        <w:tc>
          <w:tcPr>
            <w:tcW w:w="1007" w:type="dxa"/>
            <w:vAlign w:val="center"/>
          </w:tcPr>
          <w:p w:rsidR="001B70B4" w:rsidRPr="003C5252" w:rsidRDefault="00B033F6"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8.5</w:t>
            </w:r>
          </w:p>
        </w:tc>
        <w:tc>
          <w:tcPr>
            <w:tcW w:w="720" w:type="dxa"/>
            <w:vAlign w:val="center"/>
          </w:tcPr>
          <w:p w:rsidR="001B70B4" w:rsidRPr="003C5252" w:rsidRDefault="00F53208"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26</w:t>
            </w:r>
          </w:p>
        </w:tc>
        <w:tc>
          <w:tcPr>
            <w:tcW w:w="717" w:type="dxa"/>
            <w:vAlign w:val="center"/>
          </w:tcPr>
          <w:p w:rsidR="001B70B4" w:rsidRPr="003C5252" w:rsidRDefault="00F53208"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23.7</w:t>
            </w:r>
          </w:p>
        </w:tc>
        <w:tc>
          <w:tcPr>
            <w:tcW w:w="1062" w:type="dxa"/>
            <w:vAlign w:val="center"/>
          </w:tcPr>
          <w:p w:rsidR="001B70B4" w:rsidRPr="00E16EE7" w:rsidRDefault="00F76887"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E16EE7">
              <w:rPr>
                <w:rFonts w:eastAsia="Times New Roman" w:cstheme="minorHAnsi"/>
              </w:rPr>
              <w:t>7</w:t>
            </w:r>
          </w:p>
        </w:tc>
        <w:tc>
          <w:tcPr>
            <w:tcW w:w="1169" w:type="dxa"/>
            <w:vAlign w:val="center"/>
          </w:tcPr>
          <w:p w:rsidR="001B70B4" w:rsidRPr="00E16EE7" w:rsidRDefault="00F76887"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E16EE7">
              <w:rPr>
                <w:rFonts w:eastAsia="Times New Roman" w:cstheme="minorHAnsi"/>
              </w:rPr>
              <w:t>0.3</w:t>
            </w:r>
          </w:p>
        </w:tc>
      </w:tr>
      <w:tr w:rsidR="001B70B4" w:rsidRPr="003C5252" w:rsidTr="003B121A">
        <w:trPr>
          <w:gridAfter w:val="1"/>
          <w:cnfStyle w:val="000000100000" w:firstRow="0" w:lastRow="0" w:firstColumn="0" w:lastColumn="0" w:oddVBand="0" w:evenVBand="0" w:oddHBand="1" w:evenHBand="0" w:firstRowFirstColumn="0" w:firstRowLastColumn="0" w:lastRowFirstColumn="0" w:lastRowLastColumn="0"/>
          <w:wAfter w:w="22" w:type="dxa"/>
          <w:trHeight w:val="335"/>
        </w:trPr>
        <w:tc>
          <w:tcPr>
            <w:cnfStyle w:val="001000000000" w:firstRow="0" w:lastRow="0" w:firstColumn="1" w:lastColumn="0" w:oddVBand="0" w:evenVBand="0" w:oddHBand="0" w:evenHBand="0" w:firstRowFirstColumn="0" w:firstRowLastColumn="0" w:lastRowFirstColumn="0" w:lastRowLastColumn="0"/>
            <w:tcW w:w="1507" w:type="dxa"/>
            <w:vAlign w:val="center"/>
          </w:tcPr>
          <w:p w:rsidR="001B70B4" w:rsidRPr="003C5252" w:rsidRDefault="001B70B4" w:rsidP="001237B1">
            <w:pPr>
              <w:rPr>
                <w:rFonts w:eastAsia="Times New Roman" w:cstheme="minorHAnsi"/>
              </w:rPr>
            </w:pPr>
            <w:r w:rsidRPr="003C5252">
              <w:rPr>
                <w:rFonts w:eastAsia="Times New Roman" w:cstheme="minorHAnsi"/>
              </w:rPr>
              <w:t>Love</w:t>
            </w:r>
          </w:p>
        </w:tc>
        <w:tc>
          <w:tcPr>
            <w:tcW w:w="924" w:type="dxa"/>
            <w:vAlign w:val="center"/>
          </w:tcPr>
          <w:p w:rsidR="001B70B4" w:rsidRPr="003C5252" w:rsidRDefault="002E10A3"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57</w:t>
            </w:r>
          </w:p>
        </w:tc>
        <w:tc>
          <w:tcPr>
            <w:tcW w:w="1007" w:type="dxa"/>
            <w:vAlign w:val="center"/>
          </w:tcPr>
          <w:p w:rsidR="001B70B4" w:rsidRPr="003C5252" w:rsidRDefault="002E10A3"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3.0</w:t>
            </w:r>
          </w:p>
        </w:tc>
        <w:tc>
          <w:tcPr>
            <w:tcW w:w="720" w:type="dxa"/>
            <w:vAlign w:val="center"/>
          </w:tcPr>
          <w:p w:rsidR="001B70B4" w:rsidRPr="003C5252" w:rsidRDefault="00F53208"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14</w:t>
            </w:r>
          </w:p>
        </w:tc>
        <w:tc>
          <w:tcPr>
            <w:tcW w:w="717" w:type="dxa"/>
            <w:vAlign w:val="center"/>
          </w:tcPr>
          <w:p w:rsidR="001B70B4" w:rsidRPr="003C5252" w:rsidRDefault="00F53208"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14.9</w:t>
            </w:r>
          </w:p>
        </w:tc>
        <w:tc>
          <w:tcPr>
            <w:tcW w:w="1062" w:type="dxa"/>
            <w:vAlign w:val="center"/>
          </w:tcPr>
          <w:p w:rsidR="001B70B4" w:rsidRPr="00E16EE7" w:rsidRDefault="00E16EE7"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16EE7">
              <w:rPr>
                <w:rFonts w:eastAsia="Times New Roman" w:cstheme="minorHAnsi"/>
              </w:rPr>
              <w:t>6</w:t>
            </w:r>
          </w:p>
        </w:tc>
        <w:tc>
          <w:tcPr>
            <w:tcW w:w="1169" w:type="dxa"/>
            <w:vAlign w:val="center"/>
          </w:tcPr>
          <w:p w:rsidR="001B70B4" w:rsidRPr="00E16EE7" w:rsidRDefault="00E16EE7"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16EE7">
              <w:rPr>
                <w:rFonts w:eastAsia="Times New Roman" w:cstheme="minorHAnsi"/>
              </w:rPr>
              <w:t>0.3</w:t>
            </w:r>
          </w:p>
        </w:tc>
      </w:tr>
      <w:tr w:rsidR="001B70B4" w:rsidRPr="003C5252" w:rsidTr="003B121A">
        <w:trPr>
          <w:gridAfter w:val="1"/>
          <w:cnfStyle w:val="000000010000" w:firstRow="0" w:lastRow="0" w:firstColumn="0" w:lastColumn="0" w:oddVBand="0" w:evenVBand="0" w:oddHBand="0" w:evenHBand="1" w:firstRowFirstColumn="0" w:firstRowLastColumn="0" w:lastRowFirstColumn="0" w:lastRowLastColumn="0"/>
          <w:wAfter w:w="22" w:type="dxa"/>
          <w:trHeight w:val="335"/>
        </w:trPr>
        <w:tc>
          <w:tcPr>
            <w:cnfStyle w:val="001000000000" w:firstRow="0" w:lastRow="0" w:firstColumn="1" w:lastColumn="0" w:oddVBand="0" w:evenVBand="0" w:oddHBand="0" w:evenHBand="0" w:firstRowFirstColumn="0" w:firstRowLastColumn="0" w:lastRowFirstColumn="0" w:lastRowLastColumn="0"/>
            <w:tcW w:w="1507" w:type="dxa"/>
            <w:vAlign w:val="center"/>
            <w:hideMark/>
          </w:tcPr>
          <w:p w:rsidR="001B70B4" w:rsidRPr="003C5252" w:rsidRDefault="001B70B4" w:rsidP="001237B1">
            <w:pPr>
              <w:rPr>
                <w:rFonts w:eastAsia="Times New Roman" w:cstheme="minorHAnsi"/>
              </w:rPr>
            </w:pPr>
            <w:r w:rsidRPr="003C5252">
              <w:rPr>
                <w:rFonts w:eastAsia="Times New Roman" w:cstheme="minorHAnsi"/>
              </w:rPr>
              <w:t>Marshall</w:t>
            </w:r>
          </w:p>
        </w:tc>
        <w:tc>
          <w:tcPr>
            <w:tcW w:w="924" w:type="dxa"/>
            <w:vAlign w:val="center"/>
            <w:hideMark/>
          </w:tcPr>
          <w:p w:rsidR="001B70B4" w:rsidRPr="003C5252" w:rsidRDefault="002E10A3"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347</w:t>
            </w:r>
          </w:p>
        </w:tc>
        <w:tc>
          <w:tcPr>
            <w:tcW w:w="1007" w:type="dxa"/>
            <w:vAlign w:val="center"/>
            <w:hideMark/>
          </w:tcPr>
          <w:p w:rsidR="001B70B4" w:rsidRPr="003C5252" w:rsidRDefault="002E10A3"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10.6</w:t>
            </w:r>
          </w:p>
        </w:tc>
        <w:tc>
          <w:tcPr>
            <w:tcW w:w="720" w:type="dxa"/>
            <w:vAlign w:val="center"/>
            <w:hideMark/>
          </w:tcPr>
          <w:p w:rsidR="001B70B4" w:rsidRPr="003C5252" w:rsidRDefault="00F53208"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11</w:t>
            </w:r>
          </w:p>
        </w:tc>
        <w:tc>
          <w:tcPr>
            <w:tcW w:w="717" w:type="dxa"/>
            <w:vAlign w:val="center"/>
            <w:hideMark/>
          </w:tcPr>
          <w:p w:rsidR="001B70B4" w:rsidRPr="003C5252" w:rsidRDefault="00F53208"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6.9</w:t>
            </w:r>
          </w:p>
        </w:tc>
        <w:tc>
          <w:tcPr>
            <w:tcW w:w="1062" w:type="dxa"/>
            <w:vAlign w:val="center"/>
            <w:hideMark/>
          </w:tcPr>
          <w:p w:rsidR="001B70B4" w:rsidRPr="00E16EE7" w:rsidRDefault="00E16EE7"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E16EE7">
              <w:rPr>
                <w:rFonts w:eastAsia="Times New Roman" w:cstheme="minorHAnsi"/>
              </w:rPr>
              <w:t>11</w:t>
            </w:r>
          </w:p>
        </w:tc>
        <w:tc>
          <w:tcPr>
            <w:tcW w:w="1169" w:type="dxa"/>
            <w:vAlign w:val="center"/>
            <w:hideMark/>
          </w:tcPr>
          <w:p w:rsidR="001B70B4" w:rsidRPr="00E16EE7" w:rsidRDefault="00E16EE7"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E16EE7">
              <w:rPr>
                <w:rFonts w:eastAsia="Times New Roman" w:cstheme="minorHAnsi"/>
              </w:rPr>
              <w:t>0.3</w:t>
            </w:r>
          </w:p>
        </w:tc>
      </w:tr>
      <w:tr w:rsidR="001B70B4" w:rsidRPr="003C5252" w:rsidTr="003B121A">
        <w:trPr>
          <w:gridAfter w:val="1"/>
          <w:cnfStyle w:val="000000100000" w:firstRow="0" w:lastRow="0" w:firstColumn="0" w:lastColumn="0" w:oddVBand="0" w:evenVBand="0" w:oddHBand="1" w:evenHBand="0" w:firstRowFirstColumn="0" w:firstRowLastColumn="0" w:lastRowFirstColumn="0" w:lastRowLastColumn="0"/>
          <w:wAfter w:w="22" w:type="dxa"/>
          <w:trHeight w:val="335"/>
        </w:trPr>
        <w:tc>
          <w:tcPr>
            <w:cnfStyle w:val="001000000000" w:firstRow="0" w:lastRow="0" w:firstColumn="1" w:lastColumn="0" w:oddVBand="0" w:evenVBand="0" w:oddHBand="0" w:evenHBand="0" w:firstRowFirstColumn="0" w:firstRowLastColumn="0" w:lastRowFirstColumn="0" w:lastRowLastColumn="0"/>
            <w:tcW w:w="1507" w:type="dxa"/>
            <w:vAlign w:val="center"/>
            <w:hideMark/>
          </w:tcPr>
          <w:p w:rsidR="001B70B4" w:rsidRPr="003C5252" w:rsidRDefault="001B70B4" w:rsidP="001237B1">
            <w:pPr>
              <w:rPr>
                <w:rFonts w:eastAsia="Times New Roman" w:cstheme="minorHAnsi"/>
              </w:rPr>
            </w:pPr>
            <w:r w:rsidRPr="003C5252">
              <w:rPr>
                <w:rFonts w:eastAsia="Times New Roman" w:cstheme="minorHAnsi"/>
              </w:rPr>
              <w:t>Murray</w:t>
            </w:r>
          </w:p>
        </w:tc>
        <w:tc>
          <w:tcPr>
            <w:tcW w:w="924" w:type="dxa"/>
            <w:vAlign w:val="center"/>
            <w:hideMark/>
          </w:tcPr>
          <w:p w:rsidR="001B70B4" w:rsidRPr="003C5252" w:rsidRDefault="002E10A3"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55</w:t>
            </w:r>
          </w:p>
        </w:tc>
        <w:tc>
          <w:tcPr>
            <w:tcW w:w="1007" w:type="dxa"/>
            <w:vAlign w:val="center"/>
            <w:hideMark/>
          </w:tcPr>
          <w:p w:rsidR="001B70B4" w:rsidRPr="003C5252" w:rsidRDefault="002E10A3"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2.0</w:t>
            </w:r>
          </w:p>
        </w:tc>
        <w:tc>
          <w:tcPr>
            <w:tcW w:w="720" w:type="dxa"/>
            <w:vAlign w:val="center"/>
            <w:hideMark/>
          </w:tcPr>
          <w:p w:rsidR="001B70B4" w:rsidRPr="003C5252" w:rsidRDefault="00F53208"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30</w:t>
            </w:r>
          </w:p>
        </w:tc>
        <w:tc>
          <w:tcPr>
            <w:tcW w:w="717" w:type="dxa"/>
            <w:vAlign w:val="center"/>
            <w:hideMark/>
          </w:tcPr>
          <w:p w:rsidR="001B70B4" w:rsidRPr="003C5252" w:rsidRDefault="00F53208"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22.2</w:t>
            </w:r>
          </w:p>
        </w:tc>
        <w:tc>
          <w:tcPr>
            <w:tcW w:w="1062" w:type="dxa"/>
            <w:vAlign w:val="center"/>
            <w:hideMark/>
          </w:tcPr>
          <w:p w:rsidR="001B70B4" w:rsidRPr="00E16EE7" w:rsidRDefault="00E16EE7"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16EE7">
              <w:rPr>
                <w:rFonts w:eastAsia="Times New Roman" w:cstheme="minorHAnsi"/>
              </w:rPr>
              <w:t>4</w:t>
            </w:r>
          </w:p>
        </w:tc>
        <w:tc>
          <w:tcPr>
            <w:tcW w:w="1169" w:type="dxa"/>
            <w:vAlign w:val="center"/>
            <w:hideMark/>
          </w:tcPr>
          <w:p w:rsidR="001B70B4" w:rsidRPr="00E16EE7" w:rsidRDefault="00E16EE7" w:rsidP="001237B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16EE7">
              <w:rPr>
                <w:rFonts w:eastAsia="Times New Roman" w:cstheme="minorHAnsi"/>
              </w:rPr>
              <w:t>0.1</w:t>
            </w:r>
          </w:p>
        </w:tc>
      </w:tr>
      <w:tr w:rsidR="001B70B4" w:rsidRPr="003C5252" w:rsidTr="003B121A">
        <w:trPr>
          <w:gridAfter w:val="1"/>
          <w:cnfStyle w:val="000000010000" w:firstRow="0" w:lastRow="0" w:firstColumn="0" w:lastColumn="0" w:oddVBand="0" w:evenVBand="0" w:oddHBand="0" w:evenHBand="1" w:firstRowFirstColumn="0" w:firstRowLastColumn="0" w:lastRowFirstColumn="0" w:lastRowLastColumn="0"/>
          <w:wAfter w:w="22" w:type="dxa"/>
          <w:trHeight w:val="335"/>
        </w:trPr>
        <w:tc>
          <w:tcPr>
            <w:cnfStyle w:val="001000000000" w:firstRow="0" w:lastRow="0" w:firstColumn="1" w:lastColumn="0" w:oddVBand="0" w:evenVBand="0" w:oddHBand="0" w:evenHBand="0" w:firstRowFirstColumn="0" w:firstRowLastColumn="0" w:lastRowFirstColumn="0" w:lastRowLastColumn="0"/>
            <w:tcW w:w="1507" w:type="dxa"/>
            <w:vAlign w:val="center"/>
            <w:hideMark/>
          </w:tcPr>
          <w:p w:rsidR="001B70B4" w:rsidRPr="003C5252" w:rsidRDefault="001B70B4" w:rsidP="001237B1">
            <w:pPr>
              <w:rPr>
                <w:rFonts w:eastAsia="Times New Roman" w:cstheme="minorHAnsi"/>
              </w:rPr>
            </w:pPr>
            <w:r w:rsidRPr="003C5252">
              <w:rPr>
                <w:rFonts w:eastAsia="Times New Roman" w:cstheme="minorHAnsi"/>
              </w:rPr>
              <w:t>Pontotoc</w:t>
            </w:r>
          </w:p>
        </w:tc>
        <w:tc>
          <w:tcPr>
            <w:tcW w:w="924" w:type="dxa"/>
            <w:vAlign w:val="center"/>
            <w:hideMark/>
          </w:tcPr>
          <w:p w:rsidR="001B70B4" w:rsidRPr="003C5252" w:rsidRDefault="002E10A3"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308</w:t>
            </w:r>
          </w:p>
        </w:tc>
        <w:tc>
          <w:tcPr>
            <w:tcW w:w="1007" w:type="dxa"/>
            <w:vAlign w:val="center"/>
            <w:hideMark/>
          </w:tcPr>
          <w:p w:rsidR="001B70B4" w:rsidRPr="003C5252" w:rsidRDefault="002E10A3"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4.1</w:t>
            </w:r>
          </w:p>
        </w:tc>
        <w:tc>
          <w:tcPr>
            <w:tcW w:w="720" w:type="dxa"/>
            <w:vAlign w:val="center"/>
            <w:hideMark/>
          </w:tcPr>
          <w:p w:rsidR="001B70B4" w:rsidRPr="003C5252" w:rsidRDefault="004F532D"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66</w:t>
            </w:r>
          </w:p>
        </w:tc>
        <w:tc>
          <w:tcPr>
            <w:tcW w:w="717" w:type="dxa"/>
            <w:vAlign w:val="center"/>
            <w:hideMark/>
          </w:tcPr>
          <w:p w:rsidR="001B70B4" w:rsidRPr="003C5252" w:rsidRDefault="004F532D"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17.6</w:t>
            </w:r>
          </w:p>
        </w:tc>
        <w:tc>
          <w:tcPr>
            <w:tcW w:w="1062" w:type="dxa"/>
            <w:vAlign w:val="center"/>
            <w:hideMark/>
          </w:tcPr>
          <w:p w:rsidR="001B70B4" w:rsidRPr="00E16EE7" w:rsidRDefault="00E16EE7"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E16EE7">
              <w:rPr>
                <w:rFonts w:eastAsia="Times New Roman" w:cstheme="minorHAnsi"/>
              </w:rPr>
              <w:t>22</w:t>
            </w:r>
          </w:p>
        </w:tc>
        <w:tc>
          <w:tcPr>
            <w:tcW w:w="1169" w:type="dxa"/>
            <w:vAlign w:val="center"/>
            <w:hideMark/>
          </w:tcPr>
          <w:p w:rsidR="001B70B4" w:rsidRPr="00E16EE7" w:rsidRDefault="00E16EE7" w:rsidP="001237B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E16EE7">
              <w:rPr>
                <w:rFonts w:eastAsia="Times New Roman" w:cstheme="minorHAnsi"/>
              </w:rPr>
              <w:t>0.3</w:t>
            </w:r>
          </w:p>
        </w:tc>
      </w:tr>
      <w:tr w:rsidR="001B70B4" w:rsidRPr="003C5252" w:rsidTr="001237B1">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128" w:type="dxa"/>
            <w:gridSpan w:val="8"/>
            <w:vAlign w:val="center"/>
            <w:hideMark/>
          </w:tcPr>
          <w:p w:rsidR="001B70B4" w:rsidRPr="003C5252" w:rsidRDefault="001B70B4" w:rsidP="00E52F59">
            <w:pPr>
              <w:keepNext/>
              <w:jc w:val="center"/>
              <w:rPr>
                <w:rFonts w:eastAsia="Times New Roman" w:cstheme="minorHAnsi"/>
                <w:color w:val="000000"/>
                <w:sz w:val="18"/>
                <w:szCs w:val="18"/>
              </w:rPr>
            </w:pPr>
            <w:r w:rsidRPr="003C5252">
              <w:rPr>
                <w:rFonts w:eastAsia="Times New Roman" w:cstheme="minorHAnsi"/>
                <w:color w:val="000000"/>
                <w:sz w:val="18"/>
                <w:szCs w:val="18"/>
              </w:rPr>
              <w:t xml:space="preserve">Sources: Uniform Crime Reports (UCR), </w:t>
            </w:r>
            <w:r w:rsidR="00E52F59">
              <w:rPr>
                <w:rFonts w:eastAsia="Times New Roman" w:cstheme="minorHAnsi"/>
                <w:color w:val="000000"/>
                <w:sz w:val="18"/>
                <w:szCs w:val="18"/>
              </w:rPr>
              <w:t>CDC Wonder Database</w:t>
            </w:r>
            <w:r w:rsidRPr="003C5252">
              <w:rPr>
                <w:rFonts w:eastAsia="Times New Roman" w:cstheme="minorHAnsi"/>
                <w:color w:val="000000"/>
                <w:sz w:val="18"/>
                <w:szCs w:val="18"/>
              </w:rPr>
              <w:t>, Oklahoma Department of Mental Health and Substance Abuse Services (ODMHSAS)</w:t>
            </w:r>
          </w:p>
        </w:tc>
      </w:tr>
    </w:tbl>
    <w:p w:rsidR="001B70B4" w:rsidRPr="003C5252" w:rsidRDefault="001B70B4" w:rsidP="001B70B4">
      <w:pPr>
        <w:rPr>
          <w:rFonts w:cstheme="minorHAnsi"/>
          <w:b/>
          <w:sz w:val="24"/>
          <w:szCs w:val="24"/>
        </w:rPr>
      </w:pPr>
    </w:p>
    <w:p w:rsidR="001B70B4" w:rsidRPr="003C5252" w:rsidRDefault="001B70B4" w:rsidP="001B70B4">
      <w:pPr>
        <w:rPr>
          <w:rFonts w:cstheme="minorHAnsi"/>
          <w:b/>
          <w:sz w:val="24"/>
          <w:szCs w:val="24"/>
        </w:rPr>
      </w:pPr>
    </w:p>
    <w:p w:rsidR="001B70B4" w:rsidRPr="003C5252" w:rsidRDefault="001B70B4" w:rsidP="001B70B4">
      <w:pPr>
        <w:widowControl w:val="0"/>
        <w:spacing w:after="0" w:line="240" w:lineRule="auto"/>
        <w:jc w:val="center"/>
        <w:rPr>
          <w:rFonts w:ascii="Calibri" w:eastAsia="Times New Roman" w:hAnsi="Calibri" w:cs="Calibri"/>
          <w:color w:val="000000"/>
          <w:kern w:val="28"/>
          <w:sz w:val="20"/>
          <w:szCs w:val="20"/>
        </w:rPr>
      </w:pPr>
    </w:p>
    <w:p w:rsidR="001B70B4" w:rsidRPr="003C5252" w:rsidRDefault="001B70B4" w:rsidP="001B70B4">
      <w:pPr>
        <w:widowControl w:val="0"/>
        <w:spacing w:after="0" w:line="240" w:lineRule="auto"/>
        <w:jc w:val="center"/>
        <w:rPr>
          <w:rFonts w:ascii="Calibri" w:eastAsia="Times New Roman" w:hAnsi="Calibri" w:cs="Calibri"/>
          <w:color w:val="000000"/>
          <w:kern w:val="28"/>
          <w:sz w:val="20"/>
          <w:szCs w:val="20"/>
        </w:rPr>
      </w:pPr>
    </w:p>
    <w:p w:rsidR="001B70B4" w:rsidRPr="003C5252" w:rsidRDefault="001B70B4" w:rsidP="001B70B4">
      <w:pPr>
        <w:widowControl w:val="0"/>
        <w:spacing w:after="0" w:line="240" w:lineRule="auto"/>
        <w:jc w:val="center"/>
        <w:rPr>
          <w:rFonts w:ascii="Calibri" w:eastAsia="Times New Roman" w:hAnsi="Calibri" w:cs="Calibri"/>
          <w:color w:val="000000"/>
          <w:kern w:val="28"/>
          <w:sz w:val="20"/>
          <w:szCs w:val="20"/>
        </w:rPr>
      </w:pPr>
    </w:p>
    <w:p w:rsidR="001B70B4" w:rsidRPr="003C5252" w:rsidRDefault="001B70B4" w:rsidP="001B70B4">
      <w:pPr>
        <w:widowControl w:val="0"/>
        <w:spacing w:after="0" w:line="240" w:lineRule="auto"/>
        <w:jc w:val="center"/>
        <w:rPr>
          <w:rFonts w:ascii="Calibri" w:eastAsia="Times New Roman" w:hAnsi="Calibri" w:cs="Calibri"/>
          <w:color w:val="000000"/>
          <w:kern w:val="28"/>
          <w:sz w:val="20"/>
          <w:szCs w:val="20"/>
        </w:rPr>
      </w:pPr>
    </w:p>
    <w:p w:rsidR="001B70B4" w:rsidRPr="003C5252" w:rsidRDefault="001B70B4" w:rsidP="001B70B4">
      <w:pPr>
        <w:widowControl w:val="0"/>
        <w:spacing w:after="0" w:line="240" w:lineRule="auto"/>
        <w:jc w:val="center"/>
        <w:rPr>
          <w:rFonts w:ascii="Calibri" w:eastAsia="Times New Roman" w:hAnsi="Calibri" w:cs="Calibri"/>
          <w:color w:val="000000"/>
          <w:kern w:val="28"/>
          <w:sz w:val="20"/>
          <w:szCs w:val="20"/>
        </w:rPr>
      </w:pPr>
    </w:p>
    <w:p w:rsidR="001B70B4" w:rsidRPr="003C5252" w:rsidRDefault="001B70B4" w:rsidP="001B70B4">
      <w:pPr>
        <w:widowControl w:val="0"/>
        <w:spacing w:after="0" w:line="240" w:lineRule="auto"/>
        <w:jc w:val="center"/>
        <w:rPr>
          <w:rFonts w:ascii="Calibri" w:eastAsia="Times New Roman" w:hAnsi="Calibri" w:cs="Calibri"/>
          <w:color w:val="000000"/>
          <w:kern w:val="28"/>
          <w:sz w:val="20"/>
          <w:szCs w:val="20"/>
        </w:rPr>
      </w:pPr>
    </w:p>
    <w:p w:rsidR="001B70B4" w:rsidRPr="003C5252" w:rsidRDefault="001B70B4" w:rsidP="001B70B4">
      <w:pPr>
        <w:widowControl w:val="0"/>
        <w:spacing w:after="0" w:line="240" w:lineRule="auto"/>
        <w:jc w:val="center"/>
        <w:rPr>
          <w:rFonts w:ascii="Calibri" w:eastAsia="Times New Roman" w:hAnsi="Calibri" w:cs="Calibri"/>
          <w:color w:val="000000"/>
          <w:kern w:val="28"/>
          <w:sz w:val="20"/>
          <w:szCs w:val="20"/>
        </w:rPr>
      </w:pPr>
    </w:p>
    <w:p w:rsidR="001B70B4" w:rsidRPr="003C5252" w:rsidRDefault="001B70B4" w:rsidP="001B70B4">
      <w:pPr>
        <w:widowControl w:val="0"/>
        <w:spacing w:after="0" w:line="240" w:lineRule="auto"/>
        <w:jc w:val="center"/>
        <w:rPr>
          <w:rFonts w:ascii="Calibri" w:eastAsia="Times New Roman" w:hAnsi="Calibri" w:cs="Calibri"/>
          <w:color w:val="000000"/>
          <w:kern w:val="28"/>
          <w:sz w:val="20"/>
          <w:szCs w:val="20"/>
        </w:rPr>
      </w:pPr>
    </w:p>
    <w:p w:rsidR="001B70B4" w:rsidRPr="003C5252" w:rsidRDefault="001B70B4" w:rsidP="001B70B4">
      <w:pPr>
        <w:widowControl w:val="0"/>
        <w:spacing w:after="0" w:line="240" w:lineRule="auto"/>
        <w:jc w:val="center"/>
        <w:rPr>
          <w:rFonts w:ascii="Calibri" w:eastAsia="Times New Roman" w:hAnsi="Calibri" w:cs="Calibri"/>
          <w:color w:val="000000"/>
          <w:kern w:val="28"/>
          <w:sz w:val="20"/>
          <w:szCs w:val="20"/>
        </w:rPr>
      </w:pPr>
    </w:p>
    <w:p w:rsidR="001B70B4" w:rsidRPr="003C5252" w:rsidRDefault="001B70B4" w:rsidP="001B70B4">
      <w:pPr>
        <w:widowControl w:val="0"/>
        <w:spacing w:after="0" w:line="240" w:lineRule="auto"/>
        <w:jc w:val="center"/>
        <w:rPr>
          <w:rFonts w:ascii="Calibri" w:eastAsia="Times New Roman" w:hAnsi="Calibri" w:cs="Calibri"/>
          <w:color w:val="000000"/>
          <w:kern w:val="28"/>
          <w:sz w:val="20"/>
          <w:szCs w:val="20"/>
        </w:rPr>
      </w:pPr>
    </w:p>
    <w:p w:rsidR="001B70B4" w:rsidRPr="003C5252" w:rsidRDefault="001B70B4" w:rsidP="001B70B4">
      <w:pPr>
        <w:widowControl w:val="0"/>
        <w:spacing w:after="0" w:line="240" w:lineRule="auto"/>
        <w:jc w:val="center"/>
        <w:rPr>
          <w:rFonts w:ascii="Calibri" w:eastAsia="Times New Roman" w:hAnsi="Calibri" w:cs="Calibri"/>
          <w:color w:val="000000"/>
          <w:kern w:val="28"/>
          <w:sz w:val="20"/>
          <w:szCs w:val="20"/>
        </w:rPr>
      </w:pPr>
    </w:p>
    <w:p w:rsidR="001B70B4" w:rsidRPr="003C5252" w:rsidRDefault="001B70B4" w:rsidP="001B70B4">
      <w:pPr>
        <w:widowControl w:val="0"/>
        <w:spacing w:after="0" w:line="240" w:lineRule="auto"/>
        <w:jc w:val="center"/>
        <w:rPr>
          <w:rFonts w:ascii="Calibri" w:eastAsia="Times New Roman" w:hAnsi="Calibri" w:cs="Calibri"/>
          <w:color w:val="000000"/>
          <w:kern w:val="28"/>
          <w:sz w:val="20"/>
          <w:szCs w:val="20"/>
        </w:rPr>
      </w:pPr>
    </w:p>
    <w:p w:rsidR="001B70B4" w:rsidRPr="003C5252" w:rsidRDefault="001B70B4" w:rsidP="001B70B4">
      <w:pPr>
        <w:widowControl w:val="0"/>
        <w:spacing w:after="0" w:line="240" w:lineRule="auto"/>
        <w:jc w:val="center"/>
        <w:rPr>
          <w:rFonts w:ascii="Calibri" w:eastAsia="Times New Roman" w:hAnsi="Calibri" w:cs="Calibri"/>
          <w:color w:val="000000"/>
          <w:kern w:val="28"/>
          <w:sz w:val="20"/>
          <w:szCs w:val="20"/>
        </w:rPr>
      </w:pPr>
    </w:p>
    <w:p w:rsidR="001B70B4" w:rsidRPr="003C5252" w:rsidRDefault="001B70B4" w:rsidP="001B70B4">
      <w:pPr>
        <w:widowControl w:val="0"/>
        <w:spacing w:after="0" w:line="240" w:lineRule="auto"/>
        <w:jc w:val="center"/>
        <w:rPr>
          <w:rFonts w:ascii="Calibri" w:eastAsia="Times New Roman" w:hAnsi="Calibri" w:cs="Calibri"/>
          <w:color w:val="000000"/>
          <w:kern w:val="28"/>
          <w:sz w:val="20"/>
          <w:szCs w:val="20"/>
        </w:rPr>
      </w:pPr>
    </w:p>
    <w:p w:rsidR="001B70B4" w:rsidRPr="003C5252" w:rsidRDefault="001B70B4" w:rsidP="001B70B4">
      <w:pPr>
        <w:widowControl w:val="0"/>
        <w:spacing w:after="0" w:line="240" w:lineRule="auto"/>
        <w:jc w:val="center"/>
        <w:rPr>
          <w:rFonts w:ascii="Calibri" w:eastAsia="Times New Roman" w:hAnsi="Calibri" w:cs="Calibri"/>
          <w:color w:val="000000"/>
          <w:kern w:val="28"/>
          <w:sz w:val="20"/>
          <w:szCs w:val="20"/>
        </w:rPr>
      </w:pPr>
    </w:p>
    <w:p w:rsidR="001B70B4" w:rsidRPr="003C5252" w:rsidRDefault="001B70B4" w:rsidP="001B70B4">
      <w:pPr>
        <w:widowControl w:val="0"/>
        <w:spacing w:after="0" w:line="240" w:lineRule="auto"/>
        <w:jc w:val="center"/>
        <w:rPr>
          <w:rFonts w:ascii="Calibri" w:eastAsia="Times New Roman" w:hAnsi="Calibri" w:cs="Calibri"/>
          <w:color w:val="000000"/>
          <w:kern w:val="28"/>
          <w:sz w:val="20"/>
          <w:szCs w:val="20"/>
        </w:rPr>
      </w:pPr>
    </w:p>
    <w:p w:rsidR="001B70B4" w:rsidRPr="003C5252" w:rsidRDefault="001B70B4" w:rsidP="001B70B4">
      <w:pPr>
        <w:widowControl w:val="0"/>
        <w:spacing w:after="0" w:line="240" w:lineRule="auto"/>
        <w:jc w:val="center"/>
        <w:rPr>
          <w:rFonts w:ascii="Calibri" w:eastAsia="Times New Roman" w:hAnsi="Calibri" w:cs="Calibri"/>
          <w:color w:val="000000"/>
          <w:kern w:val="28"/>
          <w:sz w:val="20"/>
          <w:szCs w:val="20"/>
        </w:rPr>
      </w:pPr>
    </w:p>
    <w:p w:rsidR="001B70B4" w:rsidRPr="003C5252" w:rsidRDefault="001B70B4" w:rsidP="001B70B4">
      <w:pPr>
        <w:widowControl w:val="0"/>
        <w:spacing w:after="0" w:line="240" w:lineRule="auto"/>
        <w:jc w:val="center"/>
        <w:rPr>
          <w:rFonts w:ascii="Calibri" w:eastAsia="Times New Roman" w:hAnsi="Calibri" w:cs="Calibri"/>
          <w:color w:val="000000"/>
          <w:kern w:val="28"/>
          <w:sz w:val="20"/>
          <w:szCs w:val="20"/>
        </w:rPr>
      </w:pPr>
    </w:p>
    <w:p w:rsidR="001B70B4" w:rsidRPr="003C5252" w:rsidRDefault="001B70B4" w:rsidP="00E52F59">
      <w:pPr>
        <w:widowControl w:val="0"/>
        <w:spacing w:after="0" w:line="240" w:lineRule="auto"/>
        <w:rPr>
          <w:rFonts w:ascii="Calibri" w:eastAsia="Times New Roman" w:hAnsi="Calibri" w:cs="Calibri"/>
          <w:color w:val="000000"/>
          <w:kern w:val="28"/>
          <w:sz w:val="20"/>
          <w:szCs w:val="20"/>
        </w:rPr>
      </w:pPr>
    </w:p>
    <w:p w:rsidR="001B70B4" w:rsidRPr="003C5252" w:rsidRDefault="001B70B4" w:rsidP="00E52F59">
      <w:pPr>
        <w:widowControl w:val="0"/>
        <w:spacing w:after="0" w:line="240" w:lineRule="auto"/>
        <w:rPr>
          <w:rFonts w:ascii="Calibri" w:eastAsia="Times New Roman" w:hAnsi="Calibri" w:cs="Calibri"/>
          <w:color w:val="000000"/>
          <w:kern w:val="28"/>
          <w:sz w:val="20"/>
          <w:szCs w:val="20"/>
        </w:rPr>
      </w:pPr>
    </w:p>
    <w:p w:rsidR="00E52F59" w:rsidRDefault="001B70B4" w:rsidP="001B70B4">
      <w:pPr>
        <w:widowControl w:val="0"/>
        <w:spacing w:after="0" w:line="240" w:lineRule="auto"/>
        <w:jc w:val="center"/>
        <w:rPr>
          <w:rFonts w:ascii="Calibri" w:eastAsia="Times New Roman" w:hAnsi="Calibri" w:cs="Calibri"/>
          <w:color w:val="000000"/>
          <w:kern w:val="28"/>
          <w:sz w:val="20"/>
          <w:szCs w:val="20"/>
        </w:rPr>
      </w:pPr>
      <w:r w:rsidRPr="003C5252">
        <w:rPr>
          <w:rFonts w:ascii="Calibri" w:eastAsia="Times New Roman" w:hAnsi="Calibri" w:cs="Calibri"/>
          <w:color w:val="000000"/>
          <w:kern w:val="28"/>
          <w:sz w:val="20"/>
          <w:szCs w:val="20"/>
        </w:rPr>
        <w:t>*Rate per 1,000 population</w:t>
      </w:r>
      <w:r w:rsidR="00E52F59">
        <w:rPr>
          <w:rFonts w:ascii="Calibri" w:eastAsia="Times New Roman" w:hAnsi="Calibri" w:cs="Calibri"/>
          <w:color w:val="000000"/>
          <w:kern w:val="28"/>
          <w:sz w:val="20"/>
          <w:szCs w:val="20"/>
        </w:rPr>
        <w:t xml:space="preserve">. </w:t>
      </w:r>
      <w:r w:rsidRPr="003C5252">
        <w:rPr>
          <w:rFonts w:ascii="Calibri" w:eastAsia="Times New Roman" w:hAnsi="Calibri" w:cs="Calibri"/>
          <w:color w:val="000000"/>
          <w:kern w:val="28"/>
          <w:sz w:val="20"/>
          <w:szCs w:val="20"/>
        </w:rPr>
        <w:t xml:space="preserve">  ^Rate per 100,000 population</w:t>
      </w:r>
      <w:r w:rsidR="00E52F59">
        <w:rPr>
          <w:rFonts w:ascii="Calibri" w:eastAsia="Times New Roman" w:hAnsi="Calibri" w:cs="Calibri"/>
          <w:color w:val="000000"/>
          <w:kern w:val="28"/>
          <w:sz w:val="20"/>
          <w:szCs w:val="20"/>
        </w:rPr>
        <w:t xml:space="preserve">. </w:t>
      </w:r>
      <w:r w:rsidR="00E52F59" w:rsidRPr="003C5252">
        <w:rPr>
          <w:rFonts w:ascii="Calibri" w:eastAsia="Times New Roman" w:hAnsi="Calibri" w:cs="Calibri"/>
          <w:color w:val="000000"/>
          <w:kern w:val="28"/>
          <w:sz w:val="20"/>
          <w:szCs w:val="20"/>
          <w:vertAlign w:val="superscript"/>
        </w:rPr>
        <w:t>#</w:t>
      </w:r>
      <w:proofErr w:type="gramStart"/>
      <w:r w:rsidR="00E52F59" w:rsidRPr="003C5252">
        <w:rPr>
          <w:rFonts w:ascii="Calibri" w:eastAsia="Times New Roman" w:hAnsi="Calibri" w:cs="Calibri"/>
          <w:color w:val="000000"/>
          <w:kern w:val="28"/>
          <w:sz w:val="20"/>
          <w:szCs w:val="20"/>
        </w:rPr>
        <w:t>All</w:t>
      </w:r>
      <w:proofErr w:type="gramEnd"/>
      <w:r w:rsidR="00E52F59" w:rsidRPr="003C5252">
        <w:rPr>
          <w:rFonts w:ascii="Calibri" w:eastAsia="Times New Roman" w:hAnsi="Calibri" w:cs="Calibri"/>
          <w:color w:val="000000"/>
          <w:kern w:val="28"/>
          <w:sz w:val="20"/>
          <w:szCs w:val="20"/>
        </w:rPr>
        <w:t xml:space="preserve"> years not represented</w:t>
      </w:r>
      <w:r w:rsidR="00E52F59">
        <w:rPr>
          <w:rFonts w:ascii="Calibri" w:eastAsia="Times New Roman" w:hAnsi="Calibri" w:cs="Calibri"/>
          <w:color w:val="000000"/>
          <w:kern w:val="28"/>
          <w:sz w:val="20"/>
          <w:szCs w:val="20"/>
        </w:rPr>
        <w:t>.</w:t>
      </w:r>
    </w:p>
    <w:p w:rsidR="00E16EE7" w:rsidRDefault="00E52F59" w:rsidP="001B70B4">
      <w:pPr>
        <w:widowControl w:val="0"/>
        <w:spacing w:after="0" w:line="240" w:lineRule="auto"/>
        <w:jc w:val="center"/>
        <w:rPr>
          <w:rFonts w:ascii="Calibri" w:eastAsia="Times New Roman" w:hAnsi="Calibri" w:cs="Calibri"/>
          <w:color w:val="000000"/>
          <w:kern w:val="28"/>
          <w:sz w:val="20"/>
          <w:szCs w:val="20"/>
        </w:rPr>
      </w:pPr>
      <w:r>
        <w:rPr>
          <w:rFonts w:ascii="Calibri" w:eastAsia="Times New Roman" w:hAnsi="Calibri" w:cs="Calibri"/>
          <w:color w:val="000000"/>
          <w:kern w:val="28"/>
          <w:sz w:val="20"/>
          <w:szCs w:val="20"/>
        </w:rPr>
        <w:t>Population based on 2010 Census</w:t>
      </w:r>
    </w:p>
    <w:p w:rsidR="001B70B4" w:rsidRPr="003C5252" w:rsidRDefault="001B70B4" w:rsidP="001B70B4">
      <w:pPr>
        <w:widowControl w:val="0"/>
        <w:spacing w:after="0" w:line="240" w:lineRule="auto"/>
        <w:jc w:val="center"/>
        <w:rPr>
          <w:rFonts w:ascii="Calibri" w:eastAsia="Times New Roman" w:hAnsi="Calibri" w:cs="Calibri"/>
          <w:color w:val="000000"/>
          <w:kern w:val="28"/>
          <w:sz w:val="20"/>
          <w:szCs w:val="20"/>
        </w:rPr>
      </w:pPr>
      <w:r w:rsidRPr="003C5252">
        <w:rPr>
          <w:rFonts w:ascii="Calibri" w:eastAsia="Times New Roman" w:hAnsi="Calibri" w:cs="Calibri"/>
          <w:color w:val="000000"/>
          <w:kern w:val="28"/>
          <w:sz w:val="20"/>
          <w:szCs w:val="20"/>
        </w:rPr>
        <w:t xml:space="preserve">   </w:t>
      </w:r>
    </w:p>
    <w:p w:rsidR="001B70B4" w:rsidRPr="003C5252" w:rsidRDefault="001B70B4" w:rsidP="001B70B4">
      <w:pPr>
        <w:rPr>
          <w:rFonts w:cstheme="minorHAnsi"/>
          <w:sz w:val="24"/>
          <w:szCs w:val="24"/>
        </w:rPr>
      </w:pPr>
    </w:p>
    <w:p w:rsidR="00AF3CE3" w:rsidRDefault="001B70B4" w:rsidP="0059187D">
      <w:pPr>
        <w:jc w:val="both"/>
        <w:rPr>
          <w:rFonts w:ascii="Calibri" w:eastAsia="Times New Roman" w:hAnsi="Calibri" w:cs="Calibri"/>
          <w:b/>
          <w:color w:val="000000"/>
          <w:kern w:val="28"/>
          <w:sz w:val="28"/>
          <w:szCs w:val="28"/>
        </w:rPr>
      </w:pPr>
      <w:r w:rsidRPr="003C5252">
        <w:rPr>
          <w:rFonts w:cstheme="minorHAnsi"/>
          <w:sz w:val="24"/>
          <w:szCs w:val="24"/>
        </w:rPr>
        <w:t>Incidents of property crime have been found to have been committed by individuals seeking to obtain</w:t>
      </w:r>
      <w:r>
        <w:rPr>
          <w:rFonts w:cstheme="minorHAnsi"/>
          <w:sz w:val="24"/>
          <w:szCs w:val="24"/>
        </w:rPr>
        <w:t xml:space="preserve"> money in order to access drugs</w:t>
      </w:r>
      <w:r w:rsidRPr="003C5252">
        <w:rPr>
          <w:rFonts w:cstheme="minorHAnsi"/>
          <w:sz w:val="24"/>
          <w:szCs w:val="24"/>
        </w:rPr>
        <w:t xml:space="preserve"> (CSAP Indicators)</w:t>
      </w:r>
      <w:r>
        <w:rPr>
          <w:rFonts w:cstheme="minorHAnsi"/>
          <w:sz w:val="24"/>
          <w:szCs w:val="24"/>
        </w:rPr>
        <w:t>.</w:t>
      </w:r>
      <w:r w:rsidRPr="003C5252">
        <w:rPr>
          <w:rFonts w:cstheme="minorHAnsi"/>
          <w:sz w:val="24"/>
          <w:szCs w:val="24"/>
        </w:rPr>
        <w:t xml:space="preserve">  Within Region 10, </w:t>
      </w:r>
      <w:r w:rsidR="0059187D">
        <w:rPr>
          <w:rFonts w:cstheme="minorHAnsi"/>
          <w:sz w:val="24"/>
          <w:szCs w:val="24"/>
        </w:rPr>
        <w:t xml:space="preserve">Bryan </w:t>
      </w:r>
      <w:r w:rsidRPr="003C5252">
        <w:rPr>
          <w:rFonts w:cstheme="minorHAnsi"/>
          <w:sz w:val="24"/>
          <w:szCs w:val="24"/>
        </w:rPr>
        <w:t>C</w:t>
      </w:r>
      <w:r w:rsidR="00DC5D19">
        <w:rPr>
          <w:rFonts w:cstheme="minorHAnsi"/>
          <w:sz w:val="24"/>
          <w:szCs w:val="24"/>
        </w:rPr>
        <w:t>ounty had the highest rate</w:t>
      </w:r>
      <w:r w:rsidR="0059187D">
        <w:rPr>
          <w:rFonts w:cstheme="minorHAnsi"/>
          <w:sz w:val="24"/>
          <w:szCs w:val="24"/>
        </w:rPr>
        <w:t xml:space="preserve"> (23.6)</w:t>
      </w:r>
      <w:r w:rsidRPr="003C5252">
        <w:rPr>
          <w:rFonts w:cstheme="minorHAnsi"/>
          <w:sz w:val="24"/>
          <w:szCs w:val="24"/>
        </w:rPr>
        <w:t xml:space="preserve"> followed by </w:t>
      </w:r>
      <w:r w:rsidR="0059187D">
        <w:rPr>
          <w:rFonts w:cstheme="minorHAnsi"/>
          <w:sz w:val="24"/>
          <w:szCs w:val="24"/>
        </w:rPr>
        <w:t xml:space="preserve">Garvin and Marshall Counties which both had a rate of (10.6).  Murray </w:t>
      </w:r>
      <w:r w:rsidRPr="003C5252">
        <w:rPr>
          <w:rFonts w:cstheme="minorHAnsi"/>
          <w:sz w:val="24"/>
          <w:szCs w:val="24"/>
        </w:rPr>
        <w:t xml:space="preserve">County had the lowest rate of </w:t>
      </w:r>
      <w:r>
        <w:rPr>
          <w:rFonts w:cstheme="minorHAnsi"/>
          <w:sz w:val="24"/>
          <w:szCs w:val="24"/>
        </w:rPr>
        <w:t>p</w:t>
      </w:r>
      <w:r w:rsidRPr="003C5252">
        <w:rPr>
          <w:rFonts w:cstheme="minorHAnsi"/>
          <w:sz w:val="24"/>
          <w:szCs w:val="24"/>
        </w:rPr>
        <w:t xml:space="preserve">roperty </w:t>
      </w:r>
      <w:r>
        <w:rPr>
          <w:rFonts w:cstheme="minorHAnsi"/>
          <w:sz w:val="24"/>
          <w:szCs w:val="24"/>
        </w:rPr>
        <w:t>c</w:t>
      </w:r>
      <w:r w:rsidRPr="003C5252">
        <w:rPr>
          <w:rFonts w:cstheme="minorHAnsi"/>
          <w:sz w:val="24"/>
          <w:szCs w:val="24"/>
        </w:rPr>
        <w:t>rim</w:t>
      </w:r>
      <w:r w:rsidR="0059187D">
        <w:rPr>
          <w:rFonts w:cstheme="minorHAnsi"/>
          <w:sz w:val="24"/>
          <w:szCs w:val="24"/>
        </w:rPr>
        <w:t>e at (2.0)</w:t>
      </w:r>
      <w:r w:rsidRPr="003C5252">
        <w:rPr>
          <w:rFonts w:cstheme="minorHAnsi"/>
          <w:sz w:val="24"/>
          <w:szCs w:val="24"/>
        </w:rPr>
        <w:t xml:space="preserve">. (Uniform Crime Reports) When examining the rates of </w:t>
      </w:r>
      <w:r>
        <w:rPr>
          <w:rFonts w:cstheme="minorHAnsi"/>
          <w:sz w:val="24"/>
          <w:szCs w:val="24"/>
        </w:rPr>
        <w:t>o</w:t>
      </w:r>
      <w:r w:rsidRPr="003C5252">
        <w:rPr>
          <w:rFonts w:cstheme="minorHAnsi"/>
          <w:sz w:val="24"/>
          <w:szCs w:val="24"/>
        </w:rPr>
        <w:t xml:space="preserve">pioid </w:t>
      </w:r>
      <w:r>
        <w:rPr>
          <w:rFonts w:cstheme="minorHAnsi"/>
          <w:sz w:val="24"/>
          <w:szCs w:val="24"/>
        </w:rPr>
        <w:t>a</w:t>
      </w:r>
      <w:r w:rsidRPr="003C5252">
        <w:rPr>
          <w:rFonts w:cstheme="minorHAnsi"/>
          <w:sz w:val="24"/>
          <w:szCs w:val="24"/>
        </w:rPr>
        <w:t xml:space="preserve">nalgesic </w:t>
      </w:r>
      <w:r>
        <w:rPr>
          <w:rFonts w:cstheme="minorHAnsi"/>
          <w:sz w:val="24"/>
          <w:szCs w:val="24"/>
        </w:rPr>
        <w:t>d</w:t>
      </w:r>
      <w:r w:rsidRPr="003C5252">
        <w:rPr>
          <w:rFonts w:cstheme="minorHAnsi"/>
          <w:sz w:val="24"/>
          <w:szCs w:val="24"/>
        </w:rPr>
        <w:t xml:space="preserve">eath </w:t>
      </w:r>
      <w:r>
        <w:rPr>
          <w:rFonts w:cstheme="minorHAnsi"/>
          <w:sz w:val="24"/>
          <w:szCs w:val="24"/>
        </w:rPr>
        <w:t>r</w:t>
      </w:r>
      <w:r w:rsidRPr="003C5252">
        <w:rPr>
          <w:rFonts w:cstheme="minorHAnsi"/>
          <w:sz w:val="24"/>
          <w:szCs w:val="24"/>
        </w:rPr>
        <w:t xml:space="preserve">ates, </w:t>
      </w:r>
      <w:r w:rsidRPr="0059187D">
        <w:rPr>
          <w:rFonts w:cstheme="minorHAnsi"/>
          <w:sz w:val="24"/>
          <w:szCs w:val="24"/>
        </w:rPr>
        <w:t>the rates are alarming.  The highest two rates for opioid analgesic deaths in Region 1</w:t>
      </w:r>
      <w:r w:rsidR="00DC5D19">
        <w:rPr>
          <w:rFonts w:cstheme="minorHAnsi"/>
          <w:sz w:val="24"/>
          <w:szCs w:val="24"/>
        </w:rPr>
        <w:t>0 were Johnston County</w:t>
      </w:r>
      <w:r w:rsidR="0059187D" w:rsidRPr="0059187D">
        <w:rPr>
          <w:rFonts w:cstheme="minorHAnsi"/>
          <w:sz w:val="24"/>
          <w:szCs w:val="24"/>
        </w:rPr>
        <w:t xml:space="preserve"> (23.7)</w:t>
      </w:r>
      <w:r w:rsidRPr="0059187D">
        <w:rPr>
          <w:rFonts w:cstheme="minorHAnsi"/>
          <w:sz w:val="24"/>
          <w:szCs w:val="24"/>
        </w:rPr>
        <w:t xml:space="preserve"> and </w:t>
      </w:r>
      <w:r w:rsidR="0059187D" w:rsidRPr="0059187D">
        <w:rPr>
          <w:rFonts w:cstheme="minorHAnsi"/>
          <w:sz w:val="24"/>
          <w:szCs w:val="24"/>
        </w:rPr>
        <w:t xml:space="preserve">Murray </w:t>
      </w:r>
      <w:r w:rsidR="00DC5D19">
        <w:rPr>
          <w:rFonts w:cstheme="minorHAnsi"/>
          <w:sz w:val="24"/>
          <w:szCs w:val="24"/>
        </w:rPr>
        <w:t>County</w:t>
      </w:r>
      <w:r w:rsidRPr="0059187D">
        <w:rPr>
          <w:rFonts w:cstheme="minorHAnsi"/>
          <w:sz w:val="24"/>
          <w:szCs w:val="24"/>
        </w:rPr>
        <w:t xml:space="preserve"> </w:t>
      </w:r>
      <w:r w:rsidR="0059187D" w:rsidRPr="0059187D">
        <w:rPr>
          <w:rFonts w:cstheme="minorHAnsi"/>
          <w:sz w:val="24"/>
          <w:szCs w:val="24"/>
        </w:rPr>
        <w:t>(22.2)</w:t>
      </w:r>
      <w:r w:rsidRPr="0059187D">
        <w:rPr>
          <w:rFonts w:cstheme="minorHAnsi"/>
          <w:sz w:val="24"/>
          <w:szCs w:val="24"/>
        </w:rPr>
        <w:t>.</w:t>
      </w:r>
      <w:r w:rsidRPr="00C055E6">
        <w:rPr>
          <w:rFonts w:cstheme="minorHAnsi"/>
          <w:color w:val="FF0000"/>
          <w:sz w:val="24"/>
          <w:szCs w:val="24"/>
        </w:rPr>
        <w:t xml:space="preserve">  </w:t>
      </w:r>
      <w:r w:rsidR="0059187D">
        <w:rPr>
          <w:rFonts w:cstheme="minorHAnsi"/>
          <w:sz w:val="24"/>
          <w:szCs w:val="24"/>
        </w:rPr>
        <w:t>Bryan, Carter</w:t>
      </w:r>
      <w:r w:rsidRPr="003C5252">
        <w:rPr>
          <w:rFonts w:cstheme="minorHAnsi"/>
          <w:sz w:val="24"/>
          <w:szCs w:val="24"/>
        </w:rPr>
        <w:t xml:space="preserve"> and </w:t>
      </w:r>
      <w:r w:rsidR="0059187D">
        <w:rPr>
          <w:rFonts w:cstheme="minorHAnsi"/>
          <w:sz w:val="24"/>
          <w:szCs w:val="24"/>
        </w:rPr>
        <w:t xml:space="preserve">Garvin </w:t>
      </w:r>
      <w:r w:rsidRPr="003C5252">
        <w:rPr>
          <w:rFonts w:cstheme="minorHAnsi"/>
          <w:sz w:val="24"/>
          <w:szCs w:val="24"/>
        </w:rPr>
        <w:t xml:space="preserve">Counties had the highest rates of </w:t>
      </w:r>
      <w:r>
        <w:rPr>
          <w:rFonts w:cstheme="minorHAnsi"/>
          <w:sz w:val="24"/>
          <w:szCs w:val="24"/>
        </w:rPr>
        <w:t>p</w:t>
      </w:r>
      <w:r w:rsidRPr="003C5252">
        <w:rPr>
          <w:rFonts w:cstheme="minorHAnsi"/>
          <w:sz w:val="24"/>
          <w:szCs w:val="24"/>
        </w:rPr>
        <w:t xml:space="preserve">rescription </w:t>
      </w:r>
      <w:r>
        <w:rPr>
          <w:rFonts w:cstheme="minorHAnsi"/>
          <w:sz w:val="24"/>
          <w:szCs w:val="24"/>
        </w:rPr>
        <w:t>d</w:t>
      </w:r>
      <w:r w:rsidRPr="003C5252">
        <w:rPr>
          <w:rFonts w:cstheme="minorHAnsi"/>
          <w:sz w:val="24"/>
          <w:szCs w:val="24"/>
        </w:rPr>
        <w:t xml:space="preserve">rug </w:t>
      </w:r>
      <w:r>
        <w:rPr>
          <w:rFonts w:cstheme="minorHAnsi"/>
          <w:sz w:val="24"/>
          <w:szCs w:val="24"/>
        </w:rPr>
        <w:t>t</w:t>
      </w:r>
      <w:r w:rsidRPr="003C5252">
        <w:rPr>
          <w:rFonts w:cstheme="minorHAnsi"/>
          <w:sz w:val="24"/>
          <w:szCs w:val="24"/>
        </w:rPr>
        <w:t xml:space="preserve">reatment </w:t>
      </w:r>
      <w:r>
        <w:rPr>
          <w:rFonts w:cstheme="minorHAnsi"/>
          <w:sz w:val="24"/>
          <w:szCs w:val="24"/>
        </w:rPr>
        <w:t>a</w:t>
      </w:r>
      <w:r w:rsidRPr="003C5252">
        <w:rPr>
          <w:rFonts w:cstheme="minorHAnsi"/>
          <w:sz w:val="24"/>
          <w:szCs w:val="24"/>
        </w:rPr>
        <w:t>dmissions in the Region</w:t>
      </w:r>
      <w:r w:rsidR="00AF3CE3">
        <w:rPr>
          <w:rFonts w:cstheme="minorHAnsi"/>
          <w:sz w:val="24"/>
          <w:szCs w:val="24"/>
        </w:rPr>
        <w:t>.</w:t>
      </w:r>
    </w:p>
    <w:p w:rsidR="0059187D" w:rsidRDefault="0059187D">
      <w:pPr>
        <w:rPr>
          <w:rFonts w:ascii="Calibri" w:eastAsia="Times New Roman" w:hAnsi="Calibri" w:cs="Calibri"/>
          <w:b/>
          <w:color w:val="000000"/>
          <w:kern w:val="28"/>
          <w:sz w:val="28"/>
          <w:szCs w:val="28"/>
        </w:rPr>
      </w:pPr>
      <w:r>
        <w:rPr>
          <w:rFonts w:ascii="Calibri" w:eastAsia="Times New Roman" w:hAnsi="Calibri" w:cs="Calibri"/>
          <w:b/>
          <w:color w:val="000000"/>
          <w:kern w:val="28"/>
          <w:sz w:val="28"/>
          <w:szCs w:val="28"/>
        </w:rPr>
        <w:br w:type="page"/>
      </w:r>
    </w:p>
    <w:p w:rsidR="001B70B4" w:rsidRPr="00AF3CE3" w:rsidRDefault="001B70B4" w:rsidP="001B70B4">
      <w:pPr>
        <w:rPr>
          <w:b/>
          <w:bCs/>
          <w:color w:val="FF0000"/>
          <w:sz w:val="23"/>
          <w:szCs w:val="23"/>
          <w:u w:val="single"/>
        </w:rPr>
      </w:pPr>
      <w:r w:rsidRPr="003C5252">
        <w:rPr>
          <w:rFonts w:ascii="Calibri" w:eastAsia="Times New Roman" w:hAnsi="Calibri" w:cs="Calibri"/>
          <w:b/>
          <w:color w:val="000000"/>
          <w:kern w:val="28"/>
          <w:sz w:val="28"/>
          <w:szCs w:val="28"/>
        </w:rPr>
        <w:lastRenderedPageBreak/>
        <w:t>Additional Data Findings</w:t>
      </w:r>
    </w:p>
    <w:p w:rsidR="001B70B4" w:rsidRDefault="001B70B4" w:rsidP="001B70B4">
      <w:pPr>
        <w:widowControl w:val="0"/>
        <w:spacing w:after="0" w:line="240" w:lineRule="auto"/>
        <w:contextualSpacing/>
        <w:rPr>
          <w:rFonts w:cstheme="minorHAnsi"/>
          <w:b/>
          <w:sz w:val="24"/>
          <w:szCs w:val="24"/>
        </w:rPr>
      </w:pPr>
      <w:r w:rsidRPr="003C5252">
        <w:rPr>
          <w:rFonts w:ascii="Calibri" w:eastAsia="Times New Roman" w:hAnsi="Calibri" w:cs="Calibri"/>
          <w:b/>
          <w:color w:val="000000"/>
          <w:kern w:val="28"/>
          <w:sz w:val="28"/>
          <w:szCs w:val="28"/>
        </w:rPr>
        <w:tab/>
      </w:r>
      <w:r w:rsidRPr="00C65C23">
        <w:rPr>
          <w:rFonts w:cstheme="minorHAnsi"/>
          <w:b/>
          <w:color w:val="FF0000"/>
          <w:sz w:val="24"/>
          <w:szCs w:val="24"/>
        </w:rPr>
        <w:t>Figure 1</w:t>
      </w:r>
      <w:r w:rsidRPr="003C5252">
        <w:rPr>
          <w:rFonts w:cstheme="minorHAnsi"/>
          <w:b/>
          <w:sz w:val="24"/>
          <w:szCs w:val="24"/>
        </w:rPr>
        <w:t>:  Oklahoma Highway Safety Office Crash Counts</w:t>
      </w:r>
    </w:p>
    <w:p w:rsidR="00FA3A8C" w:rsidRDefault="00FA3A8C" w:rsidP="001B70B4">
      <w:pPr>
        <w:widowControl w:val="0"/>
        <w:spacing w:after="0" w:line="240" w:lineRule="auto"/>
        <w:contextualSpacing/>
        <w:rPr>
          <w:rFonts w:cstheme="minorHAnsi"/>
          <w:b/>
          <w:sz w:val="24"/>
          <w:szCs w:val="24"/>
        </w:rPr>
      </w:pPr>
    </w:p>
    <w:p w:rsidR="00FA3A8C" w:rsidRDefault="00FA3A8C" w:rsidP="001B70B4">
      <w:pPr>
        <w:widowControl w:val="0"/>
        <w:spacing w:after="0" w:line="240" w:lineRule="auto"/>
        <w:contextualSpacing/>
        <w:rPr>
          <w:rFonts w:cstheme="minorHAnsi"/>
          <w:b/>
          <w:sz w:val="24"/>
          <w:szCs w:val="24"/>
        </w:rPr>
      </w:pPr>
    </w:p>
    <w:p w:rsidR="001B70B4" w:rsidRPr="003C5252" w:rsidRDefault="00FA3A8C" w:rsidP="00FA3A8C">
      <w:pPr>
        <w:widowControl w:val="0"/>
        <w:spacing w:after="0" w:line="240" w:lineRule="auto"/>
        <w:contextualSpacing/>
        <w:rPr>
          <w:rFonts w:cstheme="minorHAnsi"/>
          <w:b/>
          <w:sz w:val="24"/>
          <w:szCs w:val="24"/>
        </w:rPr>
      </w:pPr>
      <w:r>
        <w:rPr>
          <w:noProof/>
        </w:rPr>
        <w:drawing>
          <wp:inline distT="0" distB="0" distL="0" distR="0" wp14:anchorId="6FC56015" wp14:editId="0203FE0B">
            <wp:extent cx="5552237" cy="3811219"/>
            <wp:effectExtent l="0" t="0" r="10795"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70B4" w:rsidRPr="003C5252" w:rsidRDefault="001B70B4" w:rsidP="001B70B4">
      <w:pPr>
        <w:widowControl w:val="0"/>
        <w:spacing w:after="0" w:line="240" w:lineRule="auto"/>
        <w:contextualSpacing/>
        <w:rPr>
          <w:rFonts w:cstheme="minorHAnsi"/>
          <w:b/>
          <w:sz w:val="24"/>
          <w:szCs w:val="24"/>
        </w:rPr>
      </w:pPr>
    </w:p>
    <w:p w:rsidR="00FA3A8C" w:rsidRDefault="00FA3A8C">
      <w:pPr>
        <w:rPr>
          <w:rFonts w:cstheme="minorHAnsi"/>
          <w:b/>
          <w:color w:val="FF0000"/>
          <w:sz w:val="24"/>
          <w:szCs w:val="24"/>
        </w:rPr>
      </w:pPr>
      <w:r>
        <w:rPr>
          <w:rFonts w:cstheme="minorHAnsi"/>
          <w:b/>
          <w:color w:val="FF0000"/>
          <w:sz w:val="24"/>
          <w:szCs w:val="24"/>
        </w:rPr>
        <w:br w:type="page"/>
      </w:r>
    </w:p>
    <w:p w:rsidR="001B70B4" w:rsidRDefault="001B70B4" w:rsidP="00FA3A8C">
      <w:pPr>
        <w:widowControl w:val="0"/>
        <w:spacing w:after="0" w:line="240" w:lineRule="auto"/>
        <w:contextualSpacing/>
        <w:rPr>
          <w:rFonts w:ascii="Calibri" w:eastAsia="Times New Roman" w:hAnsi="Calibri" w:cs="Calibri"/>
          <w:b/>
          <w:color w:val="000000"/>
          <w:kern w:val="28"/>
          <w:sz w:val="24"/>
          <w:szCs w:val="24"/>
        </w:rPr>
      </w:pPr>
      <w:r w:rsidRPr="00C65C23">
        <w:rPr>
          <w:rFonts w:cstheme="minorHAnsi"/>
          <w:b/>
          <w:color w:val="FF0000"/>
          <w:sz w:val="24"/>
          <w:szCs w:val="24"/>
        </w:rPr>
        <w:lastRenderedPageBreak/>
        <w:t xml:space="preserve">Figure 2: </w:t>
      </w:r>
      <w:r w:rsidRPr="003C5252">
        <w:rPr>
          <w:rFonts w:cstheme="minorHAnsi"/>
          <w:b/>
          <w:sz w:val="24"/>
          <w:szCs w:val="24"/>
        </w:rPr>
        <w:t>Oklahoma Highway Safety Office Drivers involved in alcohol related incidents</w:t>
      </w:r>
      <w:r w:rsidR="00FA3A8C">
        <w:rPr>
          <w:rFonts w:ascii="Calibri" w:eastAsia="Times New Roman" w:hAnsi="Calibri" w:cs="Calibri"/>
          <w:b/>
          <w:color w:val="000000"/>
          <w:kern w:val="28"/>
          <w:sz w:val="24"/>
          <w:szCs w:val="24"/>
        </w:rPr>
        <w:t>.</w:t>
      </w:r>
    </w:p>
    <w:p w:rsidR="00FA3A8C" w:rsidRPr="003C5252" w:rsidRDefault="00FA3A8C" w:rsidP="00FA3A8C">
      <w:pPr>
        <w:widowControl w:val="0"/>
        <w:spacing w:after="0" w:line="240" w:lineRule="auto"/>
        <w:contextualSpacing/>
        <w:rPr>
          <w:rFonts w:ascii="Calibri" w:eastAsia="Times New Roman" w:hAnsi="Calibri" w:cs="Calibri"/>
          <w:b/>
          <w:color w:val="000000"/>
          <w:kern w:val="28"/>
          <w:sz w:val="24"/>
          <w:szCs w:val="24"/>
        </w:rPr>
      </w:pPr>
    </w:p>
    <w:p w:rsidR="001B70B4" w:rsidRPr="003C5252" w:rsidRDefault="00FA3A8C" w:rsidP="001B70B4">
      <w:pPr>
        <w:widowControl w:val="0"/>
        <w:spacing w:after="0" w:line="240" w:lineRule="auto"/>
        <w:rPr>
          <w:rFonts w:ascii="Calibri" w:eastAsia="Times New Roman" w:hAnsi="Calibri" w:cs="Calibri"/>
          <w:b/>
          <w:color w:val="000000"/>
          <w:kern w:val="28"/>
          <w:sz w:val="24"/>
          <w:szCs w:val="24"/>
        </w:rPr>
      </w:pPr>
      <w:r>
        <w:rPr>
          <w:noProof/>
        </w:rPr>
        <w:drawing>
          <wp:inline distT="0" distB="0" distL="0" distR="0" wp14:anchorId="233D9E1D" wp14:editId="0DE7711D">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70B4" w:rsidRPr="003C5252" w:rsidRDefault="001B70B4" w:rsidP="001B70B4">
      <w:pPr>
        <w:widowControl w:val="0"/>
        <w:spacing w:after="0" w:line="240" w:lineRule="auto"/>
        <w:rPr>
          <w:rFonts w:ascii="Times New Roman" w:eastAsia="Times New Roman" w:hAnsi="Times New Roman" w:cs="Times New Roman"/>
          <w:color w:val="000000"/>
          <w:kern w:val="28"/>
          <w:sz w:val="24"/>
          <w:szCs w:val="24"/>
        </w:rPr>
      </w:pPr>
    </w:p>
    <w:p w:rsidR="001B70B4" w:rsidRPr="003C5252" w:rsidRDefault="001B70B4" w:rsidP="001B70B4">
      <w:pPr>
        <w:widowControl w:val="0"/>
        <w:spacing w:after="0" w:line="240" w:lineRule="auto"/>
        <w:rPr>
          <w:rFonts w:ascii="Calibri" w:eastAsia="Times New Roman" w:hAnsi="Calibri" w:cs="Calibri"/>
          <w:color w:val="000000"/>
          <w:kern w:val="28"/>
          <w:sz w:val="24"/>
          <w:szCs w:val="24"/>
        </w:rPr>
      </w:pPr>
      <w:r w:rsidRPr="003C5252">
        <w:rPr>
          <w:rFonts w:ascii="Calibri" w:eastAsia="Times New Roman" w:hAnsi="Calibri" w:cs="Calibri"/>
          <w:b/>
          <w:color w:val="000000"/>
          <w:kern w:val="28"/>
          <w:sz w:val="24"/>
          <w:szCs w:val="24"/>
        </w:rPr>
        <w:t xml:space="preserve">Alcohol-Related Crashes </w:t>
      </w:r>
      <w:r w:rsidRPr="003C5252">
        <w:rPr>
          <w:rFonts w:ascii="Calibri" w:eastAsia="Times New Roman" w:hAnsi="Calibri" w:cs="Calibri"/>
          <w:b/>
          <w:color w:val="000000"/>
          <w:kern w:val="28"/>
          <w:sz w:val="18"/>
          <w:szCs w:val="18"/>
        </w:rPr>
        <w:t>(Source:  Oklahoma Highway Safety Office)</w:t>
      </w:r>
    </w:p>
    <w:p w:rsidR="000043E2" w:rsidRDefault="000043E2" w:rsidP="00C70BC9">
      <w:pPr>
        <w:widowControl w:val="0"/>
        <w:spacing w:after="0" w:line="240" w:lineRule="auto"/>
        <w:jc w:val="both"/>
        <w:rPr>
          <w:rFonts w:ascii="Calibri" w:eastAsia="Times New Roman" w:hAnsi="Calibri" w:cs="Calibri"/>
          <w:color w:val="000000"/>
          <w:kern w:val="28"/>
          <w:sz w:val="24"/>
          <w:szCs w:val="24"/>
        </w:rPr>
      </w:pPr>
      <w:r w:rsidRPr="004D649A">
        <w:rPr>
          <w:rFonts w:ascii="Calibri" w:eastAsia="Times New Roman" w:hAnsi="Calibri" w:cs="Calibri"/>
          <w:color w:val="000000"/>
          <w:kern w:val="28"/>
          <w:sz w:val="24"/>
          <w:szCs w:val="24"/>
        </w:rPr>
        <w:t xml:space="preserve">This information supplements fatal alcohol-related crashes with BAC .01 or greater.  Alcohol-related crashes have </w:t>
      </w:r>
      <w:r>
        <w:rPr>
          <w:rFonts w:ascii="Calibri" w:eastAsia="Times New Roman" w:hAnsi="Calibri" w:cs="Calibri"/>
          <w:color w:val="000000"/>
          <w:kern w:val="28"/>
          <w:sz w:val="24"/>
          <w:szCs w:val="24"/>
        </w:rPr>
        <w:t>fluctuated over the past 5 years.  In 2012</w:t>
      </w:r>
      <w:r w:rsidR="00C70BC9">
        <w:rPr>
          <w:rFonts w:ascii="Calibri" w:eastAsia="Times New Roman" w:hAnsi="Calibri" w:cs="Calibri"/>
          <w:color w:val="000000"/>
          <w:kern w:val="28"/>
          <w:sz w:val="24"/>
          <w:szCs w:val="24"/>
        </w:rPr>
        <w:t>-2014 and 2016</w:t>
      </w:r>
      <w:r w:rsidRPr="004D649A">
        <w:rPr>
          <w:rFonts w:ascii="Calibri" w:eastAsia="Times New Roman" w:hAnsi="Calibri" w:cs="Calibri"/>
          <w:color w:val="000000"/>
          <w:kern w:val="28"/>
          <w:sz w:val="24"/>
          <w:szCs w:val="24"/>
        </w:rPr>
        <w:t xml:space="preserve">, </w:t>
      </w:r>
      <w:r w:rsidR="00C70BC9">
        <w:rPr>
          <w:rFonts w:ascii="Calibri" w:eastAsia="Times New Roman" w:hAnsi="Calibri" w:cs="Calibri"/>
          <w:color w:val="000000"/>
          <w:kern w:val="28"/>
          <w:sz w:val="24"/>
          <w:szCs w:val="24"/>
        </w:rPr>
        <w:t xml:space="preserve">Bryan and </w:t>
      </w:r>
      <w:r>
        <w:rPr>
          <w:rFonts w:ascii="Calibri" w:eastAsia="Times New Roman" w:hAnsi="Calibri" w:cs="Calibri"/>
          <w:color w:val="000000"/>
          <w:kern w:val="28"/>
          <w:sz w:val="24"/>
          <w:szCs w:val="24"/>
        </w:rPr>
        <w:t>Carter</w:t>
      </w:r>
      <w:r w:rsidRPr="004D649A">
        <w:rPr>
          <w:rFonts w:ascii="Calibri" w:eastAsia="Times New Roman" w:hAnsi="Calibri" w:cs="Calibri"/>
          <w:color w:val="000000"/>
          <w:kern w:val="28"/>
          <w:sz w:val="24"/>
          <w:szCs w:val="24"/>
        </w:rPr>
        <w:t xml:space="preserve"> Count</w:t>
      </w:r>
      <w:r w:rsidR="00C70BC9">
        <w:rPr>
          <w:rFonts w:ascii="Calibri" w:eastAsia="Times New Roman" w:hAnsi="Calibri" w:cs="Calibri"/>
          <w:color w:val="000000"/>
          <w:kern w:val="28"/>
          <w:sz w:val="24"/>
          <w:szCs w:val="24"/>
        </w:rPr>
        <w:t>ies</w:t>
      </w:r>
      <w:r w:rsidRPr="004D649A">
        <w:rPr>
          <w:rFonts w:ascii="Calibri" w:eastAsia="Times New Roman" w:hAnsi="Calibri" w:cs="Calibri"/>
          <w:color w:val="000000"/>
          <w:kern w:val="28"/>
          <w:sz w:val="24"/>
          <w:szCs w:val="24"/>
        </w:rPr>
        <w:t xml:space="preserve"> saw a steep increase </w:t>
      </w:r>
      <w:r>
        <w:rPr>
          <w:rFonts w:ascii="Calibri" w:eastAsia="Times New Roman" w:hAnsi="Calibri" w:cs="Calibri"/>
          <w:color w:val="000000"/>
          <w:kern w:val="28"/>
          <w:sz w:val="24"/>
          <w:szCs w:val="24"/>
        </w:rPr>
        <w:t xml:space="preserve">in alcohol related crashes. </w:t>
      </w:r>
      <w:r w:rsidRPr="004D649A">
        <w:rPr>
          <w:rFonts w:ascii="Calibri" w:eastAsia="Times New Roman" w:hAnsi="Calibri" w:cs="Calibri"/>
          <w:color w:val="000000"/>
          <w:kern w:val="28"/>
          <w:sz w:val="24"/>
          <w:szCs w:val="24"/>
        </w:rPr>
        <w:t xml:space="preserve"> </w:t>
      </w:r>
      <w:r>
        <w:rPr>
          <w:rFonts w:ascii="Calibri" w:eastAsia="Times New Roman" w:hAnsi="Calibri" w:cs="Calibri"/>
          <w:color w:val="000000"/>
          <w:kern w:val="28"/>
          <w:sz w:val="24"/>
          <w:szCs w:val="24"/>
        </w:rPr>
        <w:t>In 2012</w:t>
      </w:r>
      <w:r w:rsidR="00C70BC9">
        <w:rPr>
          <w:rFonts w:ascii="Calibri" w:eastAsia="Times New Roman" w:hAnsi="Calibri" w:cs="Calibri"/>
          <w:color w:val="000000"/>
          <w:kern w:val="28"/>
          <w:sz w:val="24"/>
          <w:szCs w:val="24"/>
        </w:rPr>
        <w:t>-2013 and 2016</w:t>
      </w:r>
      <w:r>
        <w:rPr>
          <w:rFonts w:ascii="Calibri" w:eastAsia="Times New Roman" w:hAnsi="Calibri" w:cs="Calibri"/>
          <w:color w:val="000000"/>
          <w:kern w:val="28"/>
          <w:sz w:val="24"/>
          <w:szCs w:val="24"/>
        </w:rPr>
        <w:t xml:space="preserve">, </w:t>
      </w:r>
      <w:r w:rsidR="00C70BC9">
        <w:rPr>
          <w:rFonts w:ascii="Calibri" w:eastAsia="Times New Roman" w:hAnsi="Calibri" w:cs="Calibri"/>
          <w:color w:val="000000"/>
          <w:kern w:val="28"/>
          <w:sz w:val="24"/>
          <w:szCs w:val="24"/>
        </w:rPr>
        <w:t>Bryan County</w:t>
      </w:r>
      <w:r>
        <w:rPr>
          <w:rFonts w:ascii="Calibri" w:eastAsia="Times New Roman" w:hAnsi="Calibri" w:cs="Calibri"/>
          <w:color w:val="000000"/>
          <w:kern w:val="28"/>
          <w:sz w:val="24"/>
          <w:szCs w:val="24"/>
        </w:rPr>
        <w:t xml:space="preserve"> </w:t>
      </w:r>
      <w:r w:rsidR="00C70BC9">
        <w:rPr>
          <w:rFonts w:ascii="Calibri" w:eastAsia="Times New Roman" w:hAnsi="Calibri" w:cs="Calibri"/>
          <w:color w:val="000000"/>
          <w:kern w:val="28"/>
          <w:sz w:val="24"/>
          <w:szCs w:val="24"/>
        </w:rPr>
        <w:t xml:space="preserve">saw an </w:t>
      </w:r>
      <w:r>
        <w:rPr>
          <w:rFonts w:ascii="Calibri" w:eastAsia="Times New Roman" w:hAnsi="Calibri" w:cs="Calibri"/>
          <w:color w:val="000000"/>
          <w:kern w:val="28"/>
          <w:sz w:val="24"/>
          <w:szCs w:val="24"/>
        </w:rPr>
        <w:t>increase in the number of drivers w</w:t>
      </w:r>
      <w:r w:rsidR="00C70BC9">
        <w:rPr>
          <w:rFonts w:ascii="Calibri" w:eastAsia="Times New Roman" w:hAnsi="Calibri" w:cs="Calibri"/>
          <w:color w:val="000000"/>
          <w:kern w:val="28"/>
          <w:sz w:val="24"/>
          <w:szCs w:val="24"/>
        </w:rPr>
        <w:t xml:space="preserve">ho were under the influence which resulted </w:t>
      </w:r>
      <w:r>
        <w:rPr>
          <w:rFonts w:ascii="Calibri" w:eastAsia="Times New Roman" w:hAnsi="Calibri" w:cs="Calibri"/>
          <w:color w:val="000000"/>
          <w:kern w:val="28"/>
          <w:sz w:val="24"/>
          <w:szCs w:val="24"/>
        </w:rPr>
        <w:t>in alcohol related crashes.</w:t>
      </w:r>
    </w:p>
    <w:p w:rsidR="000043E2" w:rsidRDefault="000043E2" w:rsidP="001B70B4">
      <w:pPr>
        <w:widowControl w:val="0"/>
        <w:spacing w:after="0" w:line="240" w:lineRule="auto"/>
        <w:rPr>
          <w:rFonts w:ascii="Calibri" w:eastAsia="Times New Roman" w:hAnsi="Calibri" w:cs="Calibri"/>
          <w:color w:val="000000"/>
          <w:kern w:val="28"/>
          <w:sz w:val="24"/>
          <w:szCs w:val="24"/>
        </w:rPr>
      </w:pPr>
    </w:p>
    <w:p w:rsidR="001B70B4" w:rsidRPr="003C5252" w:rsidRDefault="001B70B4" w:rsidP="001B70B4">
      <w:pPr>
        <w:widowControl w:val="0"/>
        <w:spacing w:after="0" w:line="240" w:lineRule="auto"/>
        <w:rPr>
          <w:rFonts w:ascii="Calibri" w:eastAsia="Times New Roman" w:hAnsi="Calibri" w:cs="Calibri"/>
          <w:color w:val="000000"/>
          <w:kern w:val="28"/>
          <w:sz w:val="24"/>
          <w:szCs w:val="24"/>
        </w:rPr>
      </w:pPr>
    </w:p>
    <w:p w:rsidR="001B70B4" w:rsidRPr="003C5252" w:rsidRDefault="00F6565D" w:rsidP="001B70B4">
      <w:pPr>
        <w:widowControl w:val="0"/>
        <w:spacing w:after="0" w:line="240" w:lineRule="auto"/>
        <w:contextualSpacing/>
        <w:rPr>
          <w:rFonts w:ascii="Calibri" w:eastAsia="Times New Roman" w:hAnsi="Calibri" w:cs="Calibri"/>
          <w:b/>
          <w:color w:val="000000"/>
          <w:kern w:val="28"/>
          <w:sz w:val="28"/>
          <w:szCs w:val="28"/>
        </w:rPr>
      </w:pPr>
      <w:r>
        <w:rPr>
          <w:rFonts w:cstheme="minorHAnsi"/>
          <w:b/>
          <w:sz w:val="24"/>
          <w:szCs w:val="24"/>
        </w:rPr>
        <w:t>Table 10</w:t>
      </w:r>
      <w:r w:rsidR="001B70B4" w:rsidRPr="003C5252">
        <w:rPr>
          <w:rFonts w:cstheme="minorHAnsi"/>
          <w:b/>
          <w:sz w:val="24"/>
          <w:szCs w:val="24"/>
        </w:rPr>
        <w:t xml:space="preserve">:  Crash Injuries </w:t>
      </w:r>
      <w:proofErr w:type="gramStart"/>
      <w:r w:rsidR="001B70B4" w:rsidRPr="003C5252">
        <w:rPr>
          <w:rFonts w:cstheme="minorHAnsi"/>
          <w:b/>
          <w:sz w:val="24"/>
          <w:szCs w:val="24"/>
        </w:rPr>
        <w:t>Among</w:t>
      </w:r>
      <w:proofErr w:type="gramEnd"/>
      <w:r w:rsidR="001B70B4" w:rsidRPr="003C5252">
        <w:rPr>
          <w:rFonts w:cstheme="minorHAnsi"/>
          <w:b/>
          <w:sz w:val="24"/>
          <w:szCs w:val="24"/>
        </w:rPr>
        <w:t xml:space="preserve"> Underage Alcohol Impaired Persons </w:t>
      </w:r>
    </w:p>
    <w:tbl>
      <w:tblPr>
        <w:tblStyle w:val="MediumShading1-Accent11"/>
        <w:tblpPr w:leftFromText="180" w:rightFromText="180" w:vertAnchor="text" w:horzAnchor="margin" w:tblpXSpec="center" w:tblpY="173"/>
        <w:tblW w:w="0" w:type="auto"/>
        <w:tblLook w:val="04A0" w:firstRow="1" w:lastRow="0" w:firstColumn="1" w:lastColumn="0" w:noHBand="0" w:noVBand="1"/>
      </w:tblPr>
      <w:tblGrid>
        <w:gridCol w:w="698"/>
        <w:gridCol w:w="1334"/>
        <w:gridCol w:w="1337"/>
        <w:gridCol w:w="1342"/>
        <w:gridCol w:w="1325"/>
        <w:gridCol w:w="1340"/>
        <w:gridCol w:w="867"/>
      </w:tblGrid>
      <w:tr w:rsidR="00FE7CC1" w:rsidRPr="003C5252" w:rsidTr="0081353E">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8243" w:type="dxa"/>
            <w:gridSpan w:val="7"/>
            <w:shd w:val="clear" w:color="auto" w:fill="DBE5F1" w:themeFill="accent1" w:themeFillTint="33"/>
            <w:vAlign w:val="center"/>
          </w:tcPr>
          <w:p w:rsidR="00FE7CC1" w:rsidRPr="00F6565D" w:rsidRDefault="00FE7CC1" w:rsidP="001237B1">
            <w:pPr>
              <w:widowControl w:val="0"/>
              <w:jc w:val="center"/>
              <w:rPr>
                <w:rFonts w:eastAsia="Times New Roman" w:cs="Calibri"/>
                <w:color w:val="000000"/>
                <w:kern w:val="28"/>
              </w:rPr>
            </w:pPr>
            <w:r w:rsidRPr="00F6565D">
              <w:rPr>
                <w:rFonts w:eastAsia="Times New Roman" w:cs="Calibri"/>
                <w:color w:val="000000"/>
                <w:kern w:val="28"/>
              </w:rPr>
              <w:t>Crash Injuries Among Alcohol Impaired Persons &lt;21 Years of Age by Year of Injury</w:t>
            </w:r>
          </w:p>
        </w:tc>
      </w:tr>
      <w:tr w:rsidR="00FE7CC1" w:rsidRPr="003C5252" w:rsidTr="00FE7CC1">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8243" w:type="dxa"/>
            <w:gridSpan w:val="7"/>
            <w:shd w:val="clear" w:color="auto" w:fill="FFFFFF" w:themeFill="background1"/>
            <w:vAlign w:val="center"/>
          </w:tcPr>
          <w:p w:rsidR="00FE7CC1" w:rsidRDefault="00FE7CC1" w:rsidP="00FE7CC1">
            <w:pPr>
              <w:widowControl w:val="0"/>
              <w:rPr>
                <w:rFonts w:eastAsia="Times New Roman" w:cs="Calibri"/>
                <w:color w:val="000000"/>
                <w:kern w:val="28"/>
                <w:sz w:val="16"/>
                <w:szCs w:val="16"/>
              </w:rPr>
            </w:pPr>
            <w:r>
              <w:rPr>
                <w:rFonts w:eastAsia="Times New Roman" w:cs="Calibri"/>
                <w:color w:val="000000"/>
                <w:kern w:val="28"/>
                <w:sz w:val="16"/>
                <w:szCs w:val="16"/>
              </w:rPr>
              <w:t>Criteria:</w:t>
            </w:r>
          </w:p>
          <w:p w:rsidR="00FE7CC1" w:rsidRDefault="00FE7CC1" w:rsidP="00FE7CC1">
            <w:pPr>
              <w:pStyle w:val="ListParagraph"/>
              <w:widowControl w:val="0"/>
              <w:numPr>
                <w:ilvl w:val="0"/>
                <w:numId w:val="36"/>
              </w:numPr>
              <w:rPr>
                <w:rFonts w:eastAsia="Times New Roman" w:cs="Calibri"/>
                <w:color w:val="000000"/>
                <w:kern w:val="28"/>
                <w:sz w:val="16"/>
                <w:szCs w:val="16"/>
              </w:rPr>
            </w:pPr>
            <w:r>
              <w:rPr>
                <w:rFonts w:eastAsia="Times New Roman" w:cs="Calibri"/>
                <w:color w:val="000000"/>
                <w:kern w:val="28"/>
                <w:sz w:val="16"/>
                <w:szCs w:val="16"/>
              </w:rPr>
              <w:t>State</w:t>
            </w:r>
          </w:p>
          <w:p w:rsidR="00FE7CC1" w:rsidRPr="00FE7CC1" w:rsidRDefault="00FE7CC1" w:rsidP="00FE7CC1">
            <w:pPr>
              <w:pStyle w:val="ListParagraph"/>
              <w:widowControl w:val="0"/>
              <w:numPr>
                <w:ilvl w:val="0"/>
                <w:numId w:val="36"/>
              </w:numPr>
              <w:rPr>
                <w:rFonts w:eastAsia="Times New Roman" w:cs="Calibri"/>
                <w:color w:val="000000"/>
                <w:kern w:val="28"/>
                <w:sz w:val="16"/>
                <w:szCs w:val="16"/>
              </w:rPr>
            </w:pPr>
            <w:r>
              <w:rPr>
                <w:rFonts w:eastAsia="Times New Roman" w:cs="Calibri"/>
                <w:color w:val="000000"/>
                <w:kern w:val="28"/>
                <w:sz w:val="16"/>
                <w:szCs w:val="16"/>
              </w:rPr>
              <w:t>Alcohol Impairment = Yes</w:t>
            </w:r>
          </w:p>
        </w:tc>
      </w:tr>
      <w:tr w:rsidR="008A60A8" w:rsidRPr="003C5252" w:rsidTr="00084939">
        <w:trPr>
          <w:cnfStyle w:val="000000010000" w:firstRow="0" w:lastRow="0" w:firstColumn="0" w:lastColumn="0" w:oddVBand="0" w:evenVBand="0" w:oddHBand="0" w:evenHBand="1"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98" w:type="dxa"/>
            <w:shd w:val="clear" w:color="auto" w:fill="DBE5F1" w:themeFill="accent1" w:themeFillTint="33"/>
            <w:vAlign w:val="center"/>
          </w:tcPr>
          <w:p w:rsidR="008A60A8" w:rsidRPr="003C5252" w:rsidRDefault="008A60A8" w:rsidP="001237B1">
            <w:pPr>
              <w:widowControl w:val="0"/>
              <w:jc w:val="center"/>
              <w:rPr>
                <w:rFonts w:eastAsia="Times New Roman" w:cs="Calibri"/>
                <w:color w:val="000000"/>
                <w:kern w:val="28"/>
                <w:sz w:val="16"/>
                <w:szCs w:val="16"/>
              </w:rPr>
            </w:pPr>
            <w:r w:rsidRPr="003C5252">
              <w:rPr>
                <w:rFonts w:eastAsia="Times New Roman" w:cs="Calibri"/>
                <w:color w:val="000000"/>
                <w:kern w:val="28"/>
                <w:sz w:val="16"/>
                <w:szCs w:val="16"/>
              </w:rPr>
              <w:t>Year of Injury</w:t>
            </w:r>
          </w:p>
        </w:tc>
        <w:tc>
          <w:tcPr>
            <w:tcW w:w="1334" w:type="dxa"/>
            <w:shd w:val="clear" w:color="auto" w:fill="DBE5F1" w:themeFill="accent1" w:themeFillTint="33"/>
            <w:vAlign w:val="center"/>
          </w:tcPr>
          <w:p w:rsidR="008A60A8" w:rsidRPr="003C5252" w:rsidRDefault="008A60A8" w:rsidP="003B2A86">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16"/>
                <w:szCs w:val="16"/>
              </w:rPr>
            </w:pPr>
            <w:r w:rsidRPr="003C5252">
              <w:rPr>
                <w:rFonts w:eastAsia="Times New Roman" w:cs="Calibri"/>
                <w:color w:val="000000"/>
                <w:kern w:val="28"/>
                <w:sz w:val="16"/>
                <w:szCs w:val="16"/>
              </w:rPr>
              <w:t xml:space="preserve">Total Alcohol </w:t>
            </w:r>
            <w:r>
              <w:rPr>
                <w:rFonts w:eastAsia="Times New Roman" w:cs="Calibri"/>
                <w:color w:val="000000"/>
                <w:kern w:val="28"/>
                <w:sz w:val="16"/>
                <w:szCs w:val="16"/>
              </w:rPr>
              <w:t>Related Fatal Crashes</w:t>
            </w:r>
          </w:p>
        </w:tc>
        <w:tc>
          <w:tcPr>
            <w:tcW w:w="1337" w:type="dxa"/>
            <w:shd w:val="clear" w:color="auto" w:fill="DBE5F1" w:themeFill="accent1" w:themeFillTint="33"/>
            <w:vAlign w:val="center"/>
          </w:tcPr>
          <w:p w:rsidR="008A60A8" w:rsidRDefault="008A60A8"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16"/>
                <w:szCs w:val="16"/>
              </w:rPr>
            </w:pPr>
            <w:r>
              <w:rPr>
                <w:rFonts w:eastAsia="Times New Roman" w:cs="Calibri"/>
                <w:color w:val="000000"/>
                <w:kern w:val="28"/>
                <w:sz w:val="16"/>
                <w:szCs w:val="16"/>
              </w:rPr>
              <w:t xml:space="preserve">Driver Fatalities </w:t>
            </w:r>
          </w:p>
          <w:p w:rsidR="008A60A8" w:rsidRPr="003C5252" w:rsidRDefault="008A60A8"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16"/>
                <w:szCs w:val="16"/>
              </w:rPr>
            </w:pPr>
            <w:r w:rsidRPr="003C5252">
              <w:rPr>
                <w:rFonts w:eastAsia="Times New Roman" w:cs="Calibri"/>
                <w:color w:val="000000"/>
                <w:kern w:val="28"/>
                <w:sz w:val="16"/>
                <w:szCs w:val="16"/>
              </w:rPr>
              <w:t xml:space="preserve"> (</w:t>
            </w:r>
            <w:r>
              <w:rPr>
                <w:rFonts w:eastAsia="Times New Roman" w:cs="Calibri"/>
                <w:color w:val="000000"/>
                <w:kern w:val="28"/>
                <w:sz w:val="16"/>
                <w:szCs w:val="16"/>
              </w:rPr>
              <w:t>&lt;21</w:t>
            </w:r>
            <w:r w:rsidRPr="003C5252">
              <w:rPr>
                <w:rFonts w:eastAsia="Times New Roman" w:cs="Calibri"/>
                <w:color w:val="000000"/>
                <w:kern w:val="28"/>
                <w:sz w:val="16"/>
                <w:szCs w:val="16"/>
              </w:rPr>
              <w:t xml:space="preserve"> Years of Age)</w:t>
            </w:r>
          </w:p>
        </w:tc>
        <w:tc>
          <w:tcPr>
            <w:tcW w:w="1342" w:type="dxa"/>
            <w:shd w:val="clear" w:color="auto" w:fill="DBE5F1" w:themeFill="accent1" w:themeFillTint="33"/>
            <w:vAlign w:val="center"/>
          </w:tcPr>
          <w:p w:rsidR="008A60A8" w:rsidRPr="003C5252" w:rsidRDefault="008A60A8"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16"/>
                <w:szCs w:val="16"/>
              </w:rPr>
            </w:pPr>
            <w:r>
              <w:rPr>
                <w:rFonts w:eastAsia="Times New Roman" w:cs="Calibri"/>
                <w:color w:val="000000"/>
                <w:kern w:val="28"/>
                <w:sz w:val="16"/>
                <w:szCs w:val="16"/>
              </w:rPr>
              <w:t xml:space="preserve">Passenger Fatalities (&lt;21 </w:t>
            </w:r>
            <w:r w:rsidRPr="003C5252">
              <w:rPr>
                <w:rFonts w:eastAsia="Times New Roman" w:cs="Calibri"/>
                <w:color w:val="000000"/>
                <w:kern w:val="28"/>
                <w:sz w:val="16"/>
                <w:szCs w:val="16"/>
              </w:rPr>
              <w:t>Years of Age)</w:t>
            </w:r>
          </w:p>
        </w:tc>
        <w:tc>
          <w:tcPr>
            <w:tcW w:w="1325" w:type="dxa"/>
            <w:shd w:val="clear" w:color="auto" w:fill="DBE5F1" w:themeFill="accent1" w:themeFillTint="33"/>
          </w:tcPr>
          <w:p w:rsidR="008A60A8" w:rsidRDefault="008A60A8"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16"/>
                <w:szCs w:val="16"/>
              </w:rPr>
            </w:pPr>
          </w:p>
          <w:p w:rsidR="008A60A8" w:rsidRDefault="008A60A8"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16"/>
                <w:szCs w:val="16"/>
              </w:rPr>
            </w:pPr>
            <w:r>
              <w:rPr>
                <w:rFonts w:eastAsia="Times New Roman" w:cs="Calibri"/>
                <w:color w:val="000000"/>
                <w:kern w:val="28"/>
                <w:sz w:val="16"/>
                <w:szCs w:val="16"/>
              </w:rPr>
              <w:t>Pedestrian Fatalities (&lt;21 Years of Age)</w:t>
            </w:r>
          </w:p>
          <w:p w:rsidR="008A60A8" w:rsidRDefault="008A60A8"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16"/>
                <w:szCs w:val="16"/>
              </w:rPr>
            </w:pPr>
          </w:p>
        </w:tc>
        <w:tc>
          <w:tcPr>
            <w:tcW w:w="1340" w:type="dxa"/>
            <w:shd w:val="clear" w:color="auto" w:fill="DBE5F1" w:themeFill="accent1" w:themeFillTint="33"/>
            <w:vAlign w:val="center"/>
          </w:tcPr>
          <w:p w:rsidR="008A60A8" w:rsidRPr="003C5252" w:rsidRDefault="008A60A8"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16"/>
                <w:szCs w:val="16"/>
              </w:rPr>
            </w:pPr>
            <w:r>
              <w:rPr>
                <w:rFonts w:eastAsia="Times New Roman" w:cs="Calibri"/>
                <w:color w:val="000000"/>
                <w:kern w:val="28"/>
                <w:sz w:val="16"/>
                <w:szCs w:val="16"/>
              </w:rPr>
              <w:t xml:space="preserve">Alcohol Impaired Condition </w:t>
            </w:r>
            <w:r w:rsidRPr="003C5252">
              <w:rPr>
                <w:rFonts w:eastAsia="Times New Roman" w:cs="Calibri"/>
                <w:color w:val="000000"/>
                <w:kern w:val="28"/>
                <w:sz w:val="16"/>
                <w:szCs w:val="16"/>
              </w:rPr>
              <w:t>(&lt;21 Years of Age)</w:t>
            </w:r>
          </w:p>
        </w:tc>
        <w:tc>
          <w:tcPr>
            <w:tcW w:w="867" w:type="dxa"/>
            <w:shd w:val="clear" w:color="auto" w:fill="DBE5F1" w:themeFill="accent1" w:themeFillTint="33"/>
            <w:vAlign w:val="center"/>
          </w:tcPr>
          <w:p w:rsidR="008A60A8" w:rsidRPr="003C5252" w:rsidRDefault="008A60A8"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16"/>
                <w:szCs w:val="16"/>
              </w:rPr>
            </w:pPr>
            <w:r w:rsidRPr="003C5252">
              <w:rPr>
                <w:rFonts w:eastAsia="Times New Roman" w:cs="Calibri"/>
                <w:color w:val="000000"/>
                <w:kern w:val="28"/>
                <w:sz w:val="16"/>
                <w:szCs w:val="16"/>
              </w:rPr>
              <w:t>Age Range (Years)</w:t>
            </w:r>
          </w:p>
        </w:tc>
      </w:tr>
      <w:tr w:rsidR="008A60A8" w:rsidRPr="003C5252" w:rsidTr="00084939">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698" w:type="dxa"/>
            <w:shd w:val="clear" w:color="auto" w:fill="FFFFFF" w:themeFill="background1"/>
            <w:vAlign w:val="center"/>
          </w:tcPr>
          <w:p w:rsidR="008A60A8" w:rsidRPr="003C5252" w:rsidRDefault="008A60A8" w:rsidP="001237B1">
            <w:pPr>
              <w:widowControl w:val="0"/>
              <w:jc w:val="center"/>
              <w:rPr>
                <w:rFonts w:eastAsia="Times New Roman" w:cs="Calibri"/>
                <w:color w:val="000000"/>
                <w:kern w:val="28"/>
                <w:sz w:val="16"/>
                <w:szCs w:val="16"/>
              </w:rPr>
            </w:pPr>
            <w:r>
              <w:rPr>
                <w:rFonts w:eastAsia="Times New Roman" w:cs="Calibri"/>
                <w:color w:val="000000"/>
                <w:kern w:val="28"/>
                <w:sz w:val="16"/>
                <w:szCs w:val="16"/>
              </w:rPr>
              <w:t>2014</w:t>
            </w:r>
          </w:p>
        </w:tc>
        <w:tc>
          <w:tcPr>
            <w:tcW w:w="1334" w:type="dxa"/>
            <w:shd w:val="clear" w:color="auto" w:fill="FFFFFF" w:themeFill="background1"/>
          </w:tcPr>
          <w:p w:rsidR="008A60A8" w:rsidRPr="003C5252" w:rsidRDefault="008A60A8"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16"/>
                <w:szCs w:val="16"/>
              </w:rPr>
            </w:pPr>
            <w:r>
              <w:rPr>
                <w:rFonts w:eastAsia="Times New Roman" w:cs="Calibri"/>
                <w:color w:val="000000"/>
                <w:kern w:val="28"/>
                <w:sz w:val="16"/>
                <w:szCs w:val="16"/>
              </w:rPr>
              <w:t>151</w:t>
            </w:r>
          </w:p>
        </w:tc>
        <w:tc>
          <w:tcPr>
            <w:tcW w:w="1337" w:type="dxa"/>
            <w:shd w:val="clear" w:color="auto" w:fill="FFFFFF" w:themeFill="background1"/>
          </w:tcPr>
          <w:p w:rsidR="008A60A8" w:rsidRPr="003C5252" w:rsidRDefault="008A60A8"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16"/>
                <w:szCs w:val="16"/>
              </w:rPr>
            </w:pPr>
            <w:r>
              <w:rPr>
                <w:rFonts w:eastAsia="Times New Roman" w:cs="Calibri"/>
                <w:color w:val="000000"/>
                <w:kern w:val="28"/>
                <w:sz w:val="16"/>
                <w:szCs w:val="16"/>
              </w:rPr>
              <w:t>14</w:t>
            </w:r>
          </w:p>
        </w:tc>
        <w:tc>
          <w:tcPr>
            <w:tcW w:w="1342" w:type="dxa"/>
            <w:shd w:val="clear" w:color="auto" w:fill="FFFFFF" w:themeFill="background1"/>
          </w:tcPr>
          <w:p w:rsidR="008A60A8" w:rsidRPr="003C5252" w:rsidRDefault="008A60A8"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16"/>
                <w:szCs w:val="16"/>
              </w:rPr>
            </w:pPr>
            <w:r>
              <w:rPr>
                <w:rFonts w:eastAsia="Times New Roman" w:cs="Calibri"/>
                <w:color w:val="000000"/>
                <w:kern w:val="28"/>
                <w:sz w:val="16"/>
                <w:szCs w:val="16"/>
              </w:rPr>
              <w:t>11</w:t>
            </w:r>
          </w:p>
        </w:tc>
        <w:tc>
          <w:tcPr>
            <w:tcW w:w="1325" w:type="dxa"/>
            <w:shd w:val="clear" w:color="auto" w:fill="FFFFFF" w:themeFill="background1"/>
          </w:tcPr>
          <w:p w:rsidR="008A60A8" w:rsidRDefault="008A60A8"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16"/>
                <w:szCs w:val="16"/>
              </w:rPr>
            </w:pPr>
            <w:r>
              <w:rPr>
                <w:rFonts w:eastAsia="Times New Roman" w:cs="Calibri"/>
                <w:color w:val="000000"/>
                <w:kern w:val="28"/>
                <w:sz w:val="16"/>
                <w:szCs w:val="16"/>
              </w:rPr>
              <w:t>0</w:t>
            </w:r>
          </w:p>
        </w:tc>
        <w:tc>
          <w:tcPr>
            <w:tcW w:w="1340" w:type="dxa"/>
            <w:shd w:val="clear" w:color="auto" w:fill="FFFFFF" w:themeFill="background1"/>
          </w:tcPr>
          <w:p w:rsidR="008A60A8" w:rsidRPr="003C5252" w:rsidRDefault="008A60A8"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16"/>
                <w:szCs w:val="16"/>
              </w:rPr>
            </w:pPr>
            <w:r>
              <w:rPr>
                <w:rFonts w:eastAsia="Times New Roman" w:cs="Calibri"/>
                <w:color w:val="000000"/>
                <w:kern w:val="28"/>
                <w:sz w:val="16"/>
                <w:szCs w:val="16"/>
              </w:rPr>
              <w:t>270</w:t>
            </w:r>
          </w:p>
        </w:tc>
        <w:tc>
          <w:tcPr>
            <w:tcW w:w="867" w:type="dxa"/>
            <w:shd w:val="clear" w:color="auto" w:fill="FFFFFF" w:themeFill="background1"/>
          </w:tcPr>
          <w:p w:rsidR="008A60A8" w:rsidRPr="003C5252" w:rsidRDefault="00387CE2"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16"/>
                <w:szCs w:val="16"/>
              </w:rPr>
            </w:pPr>
            <w:r>
              <w:rPr>
                <w:rFonts w:eastAsia="Times New Roman" w:cs="Calibri"/>
                <w:color w:val="000000"/>
                <w:kern w:val="28"/>
                <w:sz w:val="16"/>
                <w:szCs w:val="16"/>
              </w:rPr>
              <w:t>&lt;16</w:t>
            </w:r>
            <w:r w:rsidR="008A60A8">
              <w:rPr>
                <w:rFonts w:eastAsia="Times New Roman" w:cs="Calibri"/>
                <w:color w:val="000000"/>
                <w:kern w:val="28"/>
                <w:sz w:val="16"/>
                <w:szCs w:val="16"/>
              </w:rPr>
              <w:t>-20</w:t>
            </w:r>
          </w:p>
        </w:tc>
      </w:tr>
      <w:tr w:rsidR="008A60A8" w:rsidRPr="003C5252" w:rsidTr="00084939">
        <w:trPr>
          <w:cnfStyle w:val="000000010000" w:firstRow="0" w:lastRow="0" w:firstColumn="0" w:lastColumn="0" w:oddVBand="0" w:evenVBand="0" w:oddHBand="0" w:evenHBand="1"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698" w:type="dxa"/>
            <w:shd w:val="clear" w:color="auto" w:fill="DBE5F1" w:themeFill="accent1" w:themeFillTint="33"/>
            <w:vAlign w:val="center"/>
          </w:tcPr>
          <w:p w:rsidR="008A60A8" w:rsidRPr="003C5252" w:rsidRDefault="008A60A8" w:rsidP="001237B1">
            <w:pPr>
              <w:widowControl w:val="0"/>
              <w:jc w:val="center"/>
              <w:rPr>
                <w:rFonts w:eastAsia="Times New Roman" w:cs="Calibri"/>
                <w:color w:val="000000"/>
                <w:kern w:val="28"/>
                <w:sz w:val="16"/>
                <w:szCs w:val="16"/>
              </w:rPr>
            </w:pPr>
            <w:r>
              <w:rPr>
                <w:rFonts w:eastAsia="Times New Roman" w:cs="Calibri"/>
                <w:color w:val="000000"/>
                <w:kern w:val="28"/>
                <w:sz w:val="16"/>
                <w:szCs w:val="16"/>
              </w:rPr>
              <w:t>2015</w:t>
            </w:r>
          </w:p>
        </w:tc>
        <w:tc>
          <w:tcPr>
            <w:tcW w:w="1334" w:type="dxa"/>
            <w:shd w:val="clear" w:color="auto" w:fill="DBE5F1" w:themeFill="accent1" w:themeFillTint="33"/>
          </w:tcPr>
          <w:p w:rsidR="008A60A8" w:rsidRPr="003C5252" w:rsidRDefault="008A60A8"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16"/>
                <w:szCs w:val="16"/>
              </w:rPr>
            </w:pPr>
            <w:r>
              <w:rPr>
                <w:rFonts w:eastAsia="Times New Roman" w:cs="Calibri"/>
                <w:color w:val="000000"/>
                <w:kern w:val="28"/>
                <w:sz w:val="16"/>
                <w:szCs w:val="16"/>
              </w:rPr>
              <w:t>161</w:t>
            </w:r>
          </w:p>
        </w:tc>
        <w:tc>
          <w:tcPr>
            <w:tcW w:w="1337" w:type="dxa"/>
            <w:shd w:val="clear" w:color="auto" w:fill="DBE5F1" w:themeFill="accent1" w:themeFillTint="33"/>
          </w:tcPr>
          <w:p w:rsidR="008A60A8" w:rsidRPr="003C5252" w:rsidRDefault="008A60A8"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16"/>
                <w:szCs w:val="16"/>
              </w:rPr>
            </w:pPr>
            <w:r>
              <w:rPr>
                <w:rFonts w:eastAsia="Times New Roman" w:cs="Calibri"/>
                <w:color w:val="000000"/>
                <w:kern w:val="28"/>
                <w:sz w:val="16"/>
                <w:szCs w:val="16"/>
              </w:rPr>
              <w:t>14</w:t>
            </w:r>
          </w:p>
        </w:tc>
        <w:tc>
          <w:tcPr>
            <w:tcW w:w="1342" w:type="dxa"/>
            <w:shd w:val="clear" w:color="auto" w:fill="DBE5F1" w:themeFill="accent1" w:themeFillTint="33"/>
          </w:tcPr>
          <w:p w:rsidR="008A60A8" w:rsidRPr="003C5252" w:rsidRDefault="008A60A8"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16"/>
                <w:szCs w:val="16"/>
              </w:rPr>
            </w:pPr>
            <w:r>
              <w:rPr>
                <w:rFonts w:eastAsia="Times New Roman" w:cs="Calibri"/>
                <w:color w:val="000000"/>
                <w:kern w:val="28"/>
                <w:sz w:val="16"/>
                <w:szCs w:val="16"/>
              </w:rPr>
              <w:t>16</w:t>
            </w:r>
          </w:p>
        </w:tc>
        <w:tc>
          <w:tcPr>
            <w:tcW w:w="1325" w:type="dxa"/>
            <w:shd w:val="clear" w:color="auto" w:fill="DBE5F1" w:themeFill="accent1" w:themeFillTint="33"/>
          </w:tcPr>
          <w:p w:rsidR="008A60A8" w:rsidRPr="003C5252" w:rsidRDefault="008A60A8"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16"/>
                <w:szCs w:val="16"/>
              </w:rPr>
            </w:pPr>
            <w:r>
              <w:rPr>
                <w:rFonts w:eastAsia="Times New Roman" w:cs="Calibri"/>
                <w:color w:val="000000"/>
                <w:kern w:val="28"/>
                <w:sz w:val="16"/>
                <w:szCs w:val="16"/>
              </w:rPr>
              <w:t>1</w:t>
            </w:r>
          </w:p>
        </w:tc>
        <w:tc>
          <w:tcPr>
            <w:tcW w:w="1340" w:type="dxa"/>
            <w:shd w:val="clear" w:color="auto" w:fill="DBE5F1" w:themeFill="accent1" w:themeFillTint="33"/>
          </w:tcPr>
          <w:p w:rsidR="008A60A8" w:rsidRPr="003C5252" w:rsidRDefault="008A60A8"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16"/>
                <w:szCs w:val="16"/>
              </w:rPr>
            </w:pPr>
            <w:r>
              <w:rPr>
                <w:rFonts w:eastAsia="Times New Roman" w:cs="Calibri"/>
                <w:color w:val="000000"/>
                <w:kern w:val="28"/>
                <w:sz w:val="16"/>
                <w:szCs w:val="16"/>
              </w:rPr>
              <w:t>298</w:t>
            </w:r>
          </w:p>
        </w:tc>
        <w:tc>
          <w:tcPr>
            <w:tcW w:w="867" w:type="dxa"/>
            <w:shd w:val="clear" w:color="auto" w:fill="DBE5F1" w:themeFill="accent1" w:themeFillTint="33"/>
          </w:tcPr>
          <w:p w:rsidR="008A60A8" w:rsidRPr="003C5252" w:rsidRDefault="00387CE2"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16"/>
                <w:szCs w:val="16"/>
              </w:rPr>
            </w:pPr>
            <w:r>
              <w:rPr>
                <w:rFonts w:eastAsia="Times New Roman" w:cs="Calibri"/>
                <w:color w:val="000000"/>
                <w:kern w:val="28"/>
                <w:sz w:val="16"/>
                <w:szCs w:val="16"/>
              </w:rPr>
              <w:t>&lt;16</w:t>
            </w:r>
            <w:r w:rsidR="008A60A8" w:rsidRPr="003C5252">
              <w:rPr>
                <w:rFonts w:eastAsia="Times New Roman" w:cs="Calibri"/>
                <w:color w:val="000000"/>
                <w:kern w:val="28"/>
                <w:sz w:val="16"/>
                <w:szCs w:val="16"/>
              </w:rPr>
              <w:t>-20</w:t>
            </w:r>
          </w:p>
        </w:tc>
      </w:tr>
      <w:tr w:rsidR="008A60A8" w:rsidRPr="003C5252" w:rsidTr="00084939">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698" w:type="dxa"/>
            <w:shd w:val="clear" w:color="auto" w:fill="FFFFFF" w:themeFill="background1"/>
            <w:vAlign w:val="center"/>
          </w:tcPr>
          <w:p w:rsidR="008A60A8" w:rsidRPr="003C5252" w:rsidRDefault="008A60A8" w:rsidP="001237B1">
            <w:pPr>
              <w:widowControl w:val="0"/>
              <w:jc w:val="center"/>
              <w:rPr>
                <w:rFonts w:eastAsia="Times New Roman" w:cs="Calibri"/>
                <w:color w:val="000000"/>
                <w:kern w:val="28"/>
                <w:sz w:val="16"/>
                <w:szCs w:val="16"/>
              </w:rPr>
            </w:pPr>
            <w:r>
              <w:rPr>
                <w:rFonts w:eastAsia="Times New Roman" w:cs="Calibri"/>
                <w:color w:val="000000"/>
                <w:kern w:val="28"/>
                <w:sz w:val="16"/>
                <w:szCs w:val="16"/>
              </w:rPr>
              <w:t>2016</w:t>
            </w:r>
          </w:p>
        </w:tc>
        <w:tc>
          <w:tcPr>
            <w:tcW w:w="1334" w:type="dxa"/>
            <w:shd w:val="clear" w:color="auto" w:fill="FFFFFF" w:themeFill="background1"/>
          </w:tcPr>
          <w:p w:rsidR="008A60A8" w:rsidRPr="003C5252" w:rsidRDefault="008A60A8"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16"/>
                <w:szCs w:val="16"/>
              </w:rPr>
            </w:pPr>
            <w:r>
              <w:rPr>
                <w:rFonts w:eastAsia="Times New Roman" w:cs="Calibri"/>
                <w:color w:val="000000"/>
                <w:kern w:val="28"/>
                <w:sz w:val="16"/>
                <w:szCs w:val="16"/>
              </w:rPr>
              <w:t>173</w:t>
            </w:r>
          </w:p>
        </w:tc>
        <w:tc>
          <w:tcPr>
            <w:tcW w:w="1337" w:type="dxa"/>
            <w:shd w:val="clear" w:color="auto" w:fill="FFFFFF" w:themeFill="background1"/>
          </w:tcPr>
          <w:p w:rsidR="008A60A8" w:rsidRPr="003C5252" w:rsidRDefault="008A60A8"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16"/>
                <w:szCs w:val="16"/>
              </w:rPr>
            </w:pPr>
            <w:r>
              <w:rPr>
                <w:rFonts w:eastAsia="Times New Roman" w:cs="Calibri"/>
                <w:color w:val="000000"/>
                <w:kern w:val="28"/>
                <w:sz w:val="16"/>
                <w:szCs w:val="16"/>
              </w:rPr>
              <w:t>7</w:t>
            </w:r>
          </w:p>
        </w:tc>
        <w:tc>
          <w:tcPr>
            <w:tcW w:w="1342" w:type="dxa"/>
            <w:shd w:val="clear" w:color="auto" w:fill="FFFFFF" w:themeFill="background1"/>
          </w:tcPr>
          <w:p w:rsidR="008A60A8" w:rsidRPr="003C5252" w:rsidRDefault="008A60A8"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16"/>
                <w:szCs w:val="16"/>
              </w:rPr>
            </w:pPr>
            <w:r>
              <w:rPr>
                <w:rFonts w:eastAsia="Times New Roman" w:cs="Calibri"/>
                <w:color w:val="000000"/>
                <w:kern w:val="28"/>
                <w:sz w:val="16"/>
                <w:szCs w:val="16"/>
              </w:rPr>
              <w:t>5</w:t>
            </w:r>
          </w:p>
        </w:tc>
        <w:tc>
          <w:tcPr>
            <w:tcW w:w="1325" w:type="dxa"/>
            <w:shd w:val="clear" w:color="auto" w:fill="FFFFFF" w:themeFill="background1"/>
          </w:tcPr>
          <w:p w:rsidR="008A60A8" w:rsidRPr="003C5252" w:rsidRDefault="008A60A8"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16"/>
                <w:szCs w:val="16"/>
              </w:rPr>
            </w:pPr>
            <w:r>
              <w:rPr>
                <w:rFonts w:eastAsia="Times New Roman" w:cs="Calibri"/>
                <w:color w:val="000000"/>
                <w:kern w:val="28"/>
                <w:sz w:val="16"/>
                <w:szCs w:val="16"/>
              </w:rPr>
              <w:t>3</w:t>
            </w:r>
          </w:p>
        </w:tc>
        <w:tc>
          <w:tcPr>
            <w:tcW w:w="1340" w:type="dxa"/>
            <w:shd w:val="clear" w:color="auto" w:fill="FFFFFF" w:themeFill="background1"/>
          </w:tcPr>
          <w:p w:rsidR="008A60A8" w:rsidRPr="003C5252" w:rsidRDefault="008A60A8"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16"/>
                <w:szCs w:val="16"/>
              </w:rPr>
            </w:pPr>
            <w:r>
              <w:rPr>
                <w:rFonts w:eastAsia="Times New Roman" w:cs="Calibri"/>
                <w:color w:val="000000"/>
                <w:kern w:val="28"/>
                <w:sz w:val="16"/>
                <w:szCs w:val="16"/>
              </w:rPr>
              <w:t>935</w:t>
            </w:r>
          </w:p>
        </w:tc>
        <w:tc>
          <w:tcPr>
            <w:tcW w:w="867" w:type="dxa"/>
            <w:shd w:val="clear" w:color="auto" w:fill="FFFFFF" w:themeFill="background1"/>
          </w:tcPr>
          <w:p w:rsidR="008A60A8" w:rsidRPr="003C5252" w:rsidRDefault="00FE7CC1"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16"/>
                <w:szCs w:val="16"/>
              </w:rPr>
            </w:pPr>
            <w:r>
              <w:rPr>
                <w:rFonts w:eastAsia="Times New Roman" w:cs="Calibri"/>
                <w:color w:val="000000"/>
                <w:kern w:val="28"/>
                <w:sz w:val="16"/>
                <w:szCs w:val="16"/>
              </w:rPr>
              <w:t>&lt;16</w:t>
            </w:r>
            <w:r w:rsidR="008A60A8">
              <w:rPr>
                <w:rFonts w:eastAsia="Times New Roman" w:cs="Calibri"/>
                <w:color w:val="000000"/>
                <w:kern w:val="28"/>
                <w:sz w:val="16"/>
                <w:szCs w:val="16"/>
              </w:rPr>
              <w:t>-25</w:t>
            </w:r>
          </w:p>
        </w:tc>
      </w:tr>
      <w:tr w:rsidR="00310CD3" w:rsidRPr="003C5252" w:rsidTr="006731AC">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243" w:type="dxa"/>
            <w:gridSpan w:val="7"/>
            <w:shd w:val="clear" w:color="auto" w:fill="FFFFFF" w:themeFill="background1"/>
            <w:vAlign w:val="center"/>
          </w:tcPr>
          <w:p w:rsidR="00310CD3" w:rsidRDefault="00310CD3" w:rsidP="001237B1">
            <w:pPr>
              <w:widowControl w:val="0"/>
              <w:jc w:val="center"/>
              <w:rPr>
                <w:rFonts w:eastAsia="Times New Roman" w:cs="Calibri"/>
                <w:color w:val="000000"/>
                <w:kern w:val="28"/>
                <w:sz w:val="16"/>
                <w:szCs w:val="16"/>
              </w:rPr>
            </w:pPr>
            <w:r>
              <w:rPr>
                <w:rFonts w:eastAsia="Times New Roman" w:cs="Calibri"/>
                <w:color w:val="000000"/>
                <w:kern w:val="28"/>
                <w:sz w:val="16"/>
                <w:szCs w:val="16"/>
              </w:rPr>
              <w:t>Source: Oklahoma Highway Safety Office</w:t>
            </w:r>
          </w:p>
        </w:tc>
      </w:tr>
    </w:tbl>
    <w:p w:rsidR="001B70B4" w:rsidRPr="003C5252" w:rsidRDefault="001B70B4" w:rsidP="001B70B4">
      <w:pPr>
        <w:widowControl w:val="0"/>
        <w:spacing w:after="0" w:line="240" w:lineRule="auto"/>
        <w:rPr>
          <w:rFonts w:ascii="Calibri" w:eastAsia="Times New Roman" w:hAnsi="Calibri" w:cs="Calibri"/>
          <w:color w:val="000000"/>
          <w:kern w:val="28"/>
          <w:sz w:val="24"/>
          <w:szCs w:val="24"/>
        </w:rPr>
      </w:pPr>
    </w:p>
    <w:p w:rsidR="001B70B4" w:rsidRDefault="001B70B4" w:rsidP="001B70B4">
      <w:pPr>
        <w:widowControl w:val="0"/>
        <w:spacing w:after="0" w:line="240" w:lineRule="auto"/>
        <w:rPr>
          <w:rFonts w:ascii="Calibri" w:eastAsia="Times New Roman" w:hAnsi="Calibri" w:cs="Calibri"/>
          <w:b/>
          <w:color w:val="000000"/>
          <w:kern w:val="28"/>
          <w:sz w:val="24"/>
          <w:szCs w:val="24"/>
        </w:rPr>
      </w:pPr>
    </w:p>
    <w:p w:rsidR="00C70BC9" w:rsidRDefault="00C70BC9" w:rsidP="00F6565D">
      <w:pPr>
        <w:widowControl w:val="0"/>
        <w:spacing w:after="0" w:line="240" w:lineRule="auto"/>
        <w:rPr>
          <w:rFonts w:ascii="Calibri" w:eastAsia="Times New Roman" w:hAnsi="Calibri" w:cs="Calibri"/>
          <w:color w:val="000000"/>
          <w:kern w:val="28"/>
          <w:sz w:val="24"/>
          <w:szCs w:val="24"/>
        </w:rPr>
      </w:pPr>
    </w:p>
    <w:p w:rsidR="000B2C31" w:rsidRDefault="000B2C31" w:rsidP="00C70BC9">
      <w:pPr>
        <w:widowControl w:val="0"/>
        <w:spacing w:after="0" w:line="240" w:lineRule="auto"/>
        <w:jc w:val="both"/>
        <w:rPr>
          <w:rFonts w:ascii="Calibri" w:eastAsia="Times New Roman" w:hAnsi="Calibri" w:cs="Calibri"/>
          <w:color w:val="000000"/>
          <w:kern w:val="28"/>
          <w:sz w:val="24"/>
          <w:szCs w:val="24"/>
        </w:rPr>
      </w:pPr>
      <w:r>
        <w:rPr>
          <w:rFonts w:ascii="Calibri" w:eastAsia="Times New Roman" w:hAnsi="Calibri" w:cs="Calibri"/>
          <w:color w:val="000000"/>
          <w:kern w:val="28"/>
          <w:sz w:val="24"/>
          <w:szCs w:val="24"/>
        </w:rPr>
        <w:t xml:space="preserve">2014-2016 </w:t>
      </w:r>
      <w:r w:rsidR="0083187B">
        <w:rPr>
          <w:rFonts w:ascii="Calibri" w:eastAsia="Times New Roman" w:hAnsi="Calibri" w:cs="Calibri"/>
          <w:color w:val="000000"/>
          <w:kern w:val="28"/>
          <w:sz w:val="24"/>
          <w:szCs w:val="24"/>
        </w:rPr>
        <w:t>state</w:t>
      </w:r>
      <w:r w:rsidR="001B70B4" w:rsidRPr="003C5252">
        <w:rPr>
          <w:rFonts w:ascii="Calibri" w:eastAsia="Times New Roman" w:hAnsi="Calibri" w:cs="Calibri"/>
          <w:color w:val="000000"/>
          <w:kern w:val="28"/>
          <w:sz w:val="24"/>
          <w:szCs w:val="24"/>
        </w:rPr>
        <w:t xml:space="preserve"> data indicating injuries related to crashes by alcohol-impaired drivers less than 21 years of age.  </w:t>
      </w:r>
      <w:r w:rsidR="00C70BC9">
        <w:rPr>
          <w:rFonts w:ascii="Calibri" w:eastAsia="Times New Roman" w:hAnsi="Calibri" w:cs="Calibri"/>
          <w:color w:val="000000"/>
          <w:kern w:val="28"/>
          <w:sz w:val="24"/>
          <w:szCs w:val="24"/>
        </w:rPr>
        <w:t>In 2016, drivers with al</w:t>
      </w:r>
      <w:r w:rsidR="00DC5D19">
        <w:rPr>
          <w:rFonts w:ascii="Calibri" w:eastAsia="Times New Roman" w:hAnsi="Calibri" w:cs="Calibri"/>
          <w:color w:val="000000"/>
          <w:kern w:val="28"/>
          <w:sz w:val="24"/>
          <w:szCs w:val="24"/>
        </w:rPr>
        <w:t xml:space="preserve">cohol impaired condition more than </w:t>
      </w:r>
      <w:r w:rsidR="00C70BC9">
        <w:rPr>
          <w:rFonts w:ascii="Calibri" w:eastAsia="Times New Roman" w:hAnsi="Calibri" w:cs="Calibri"/>
          <w:color w:val="000000"/>
          <w:kern w:val="28"/>
          <w:sz w:val="24"/>
          <w:szCs w:val="24"/>
        </w:rPr>
        <w:t xml:space="preserve">tripled from 2015 </w:t>
      </w:r>
      <w:r w:rsidR="00C70BC9">
        <w:rPr>
          <w:rFonts w:ascii="Calibri" w:eastAsia="Times New Roman" w:hAnsi="Calibri" w:cs="Calibri"/>
          <w:color w:val="000000"/>
          <w:kern w:val="28"/>
          <w:sz w:val="24"/>
          <w:szCs w:val="24"/>
        </w:rPr>
        <w:lastRenderedPageBreak/>
        <w:t xml:space="preserve">indicating a serious issue with underage drinking.  </w:t>
      </w:r>
      <w:r w:rsidR="001B70B4" w:rsidRPr="003C5252">
        <w:rPr>
          <w:rFonts w:ascii="Calibri" w:eastAsia="Times New Roman" w:hAnsi="Calibri" w:cs="Calibri"/>
          <w:color w:val="000000"/>
          <w:kern w:val="28"/>
          <w:sz w:val="24"/>
          <w:szCs w:val="24"/>
        </w:rPr>
        <w:t>Data was not able to be obtained at the county level for Region 10.</w:t>
      </w:r>
    </w:p>
    <w:p w:rsidR="001B70B4" w:rsidRPr="003C5252" w:rsidRDefault="000B2C31" w:rsidP="001B70B4">
      <w:pPr>
        <w:widowControl w:val="0"/>
        <w:spacing w:after="0" w:line="240" w:lineRule="auto"/>
        <w:rPr>
          <w:rFonts w:ascii="Calibri" w:eastAsia="Times New Roman" w:hAnsi="Calibri" w:cs="Calibri"/>
          <w:color w:val="000000"/>
          <w:kern w:val="28"/>
          <w:sz w:val="24"/>
          <w:szCs w:val="24"/>
        </w:rPr>
      </w:pPr>
      <w:r>
        <w:rPr>
          <w:rFonts w:ascii="Calibri" w:eastAsia="Times New Roman" w:hAnsi="Calibri" w:cs="Calibri"/>
          <w:color w:val="000000"/>
          <w:kern w:val="28"/>
          <w:sz w:val="24"/>
          <w:szCs w:val="24"/>
        </w:rPr>
        <w:t xml:space="preserve"> </w:t>
      </w:r>
    </w:p>
    <w:p w:rsidR="001B70B4" w:rsidRPr="003C5252" w:rsidRDefault="00F6565D" w:rsidP="001B70B4">
      <w:pPr>
        <w:widowControl w:val="0"/>
        <w:spacing w:after="0" w:line="240" w:lineRule="auto"/>
        <w:contextualSpacing/>
        <w:rPr>
          <w:rFonts w:ascii="Calibri" w:eastAsia="Times New Roman" w:hAnsi="Calibri" w:cs="Calibri"/>
          <w:color w:val="000000"/>
          <w:kern w:val="28"/>
          <w:sz w:val="24"/>
          <w:szCs w:val="24"/>
        </w:rPr>
      </w:pPr>
      <w:r>
        <w:rPr>
          <w:rFonts w:cstheme="minorHAnsi"/>
          <w:b/>
          <w:sz w:val="24"/>
          <w:szCs w:val="24"/>
        </w:rPr>
        <w:t>Table 11</w:t>
      </w:r>
      <w:r w:rsidR="001B70B4" w:rsidRPr="003C5252">
        <w:rPr>
          <w:rFonts w:cstheme="minorHAnsi"/>
          <w:b/>
          <w:sz w:val="24"/>
          <w:szCs w:val="24"/>
        </w:rPr>
        <w:t xml:space="preserve">:  </w:t>
      </w:r>
      <w:r w:rsidR="001B70B4" w:rsidRPr="00D17B97">
        <w:rPr>
          <w:rFonts w:cstheme="minorHAnsi"/>
          <w:b/>
          <w:color w:val="FF0000"/>
          <w:sz w:val="24"/>
          <w:szCs w:val="24"/>
        </w:rPr>
        <w:t>Juvenile Violent Crime Arrests-Ages 10-17</w:t>
      </w:r>
    </w:p>
    <w:tbl>
      <w:tblPr>
        <w:tblStyle w:val="MediumShading1-Accent11"/>
        <w:tblpPr w:leftFromText="180" w:rightFromText="180" w:vertAnchor="text" w:horzAnchor="margin" w:tblpXSpec="center" w:tblpY="133"/>
        <w:tblW w:w="0" w:type="auto"/>
        <w:tblLook w:val="04A0" w:firstRow="1" w:lastRow="0" w:firstColumn="1" w:lastColumn="0" w:noHBand="0" w:noVBand="1"/>
      </w:tblPr>
      <w:tblGrid>
        <w:gridCol w:w="831"/>
        <w:gridCol w:w="177"/>
        <w:gridCol w:w="764"/>
        <w:gridCol w:w="829"/>
        <w:gridCol w:w="902"/>
        <w:gridCol w:w="902"/>
        <w:gridCol w:w="1119"/>
        <w:gridCol w:w="876"/>
        <w:gridCol w:w="1091"/>
        <w:gridCol w:w="958"/>
        <w:gridCol w:w="1127"/>
      </w:tblGrid>
      <w:tr w:rsidR="003F3456" w:rsidRPr="003C5252" w:rsidTr="0001175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 w:type="dxa"/>
            <w:gridSpan w:val="2"/>
            <w:shd w:val="clear" w:color="auto" w:fill="000000" w:themeFill="text1"/>
            <w:noWrap/>
            <w:hideMark/>
          </w:tcPr>
          <w:p w:rsidR="003F3456" w:rsidRPr="003C5252" w:rsidRDefault="003F3456" w:rsidP="001237B1">
            <w:pPr>
              <w:widowControl w:val="0"/>
              <w:jc w:val="center"/>
              <w:rPr>
                <w:rFonts w:eastAsia="Times New Roman" w:cs="Calibri"/>
                <w:kern w:val="28"/>
                <w:sz w:val="24"/>
                <w:szCs w:val="24"/>
              </w:rPr>
            </w:pPr>
          </w:p>
        </w:tc>
        <w:tc>
          <w:tcPr>
            <w:tcW w:w="783" w:type="dxa"/>
            <w:shd w:val="clear" w:color="auto" w:fill="000000" w:themeFill="text1"/>
          </w:tcPr>
          <w:p w:rsidR="003F3456" w:rsidRPr="003C5252" w:rsidRDefault="003F3456" w:rsidP="001237B1">
            <w:pPr>
              <w:widowControl w:val="0"/>
              <w:jc w:val="center"/>
              <w:cnfStyle w:val="100000000000" w:firstRow="1" w:lastRow="0" w:firstColumn="0" w:lastColumn="0" w:oddVBand="0" w:evenVBand="0" w:oddHBand="0" w:evenHBand="0" w:firstRowFirstColumn="0" w:firstRowLastColumn="0" w:lastRowFirstColumn="0" w:lastRowLastColumn="0"/>
              <w:rPr>
                <w:rFonts w:eastAsia="Times New Roman" w:cs="Calibri"/>
                <w:kern w:val="28"/>
                <w:sz w:val="24"/>
                <w:szCs w:val="24"/>
              </w:rPr>
            </w:pPr>
            <w:r>
              <w:rPr>
                <w:rFonts w:eastAsia="Times New Roman" w:cs="Calibri"/>
                <w:kern w:val="28"/>
                <w:sz w:val="24"/>
                <w:szCs w:val="24"/>
              </w:rPr>
              <w:t>OK</w:t>
            </w:r>
          </w:p>
        </w:tc>
        <w:tc>
          <w:tcPr>
            <w:tcW w:w="829" w:type="dxa"/>
            <w:shd w:val="clear" w:color="auto" w:fill="000000" w:themeFill="text1"/>
            <w:noWrap/>
            <w:hideMark/>
          </w:tcPr>
          <w:p w:rsidR="003F3456" w:rsidRPr="003C5252" w:rsidRDefault="003F3456" w:rsidP="001237B1">
            <w:pPr>
              <w:widowControl w:val="0"/>
              <w:jc w:val="center"/>
              <w:cnfStyle w:val="100000000000" w:firstRow="1" w:lastRow="0" w:firstColumn="0" w:lastColumn="0" w:oddVBand="0" w:evenVBand="0" w:oddHBand="0" w:evenHBand="0" w:firstRowFirstColumn="0" w:firstRowLastColumn="0" w:lastRowFirstColumn="0" w:lastRowLastColumn="0"/>
              <w:rPr>
                <w:rFonts w:eastAsia="Times New Roman" w:cs="Calibri"/>
                <w:kern w:val="28"/>
                <w:sz w:val="24"/>
                <w:szCs w:val="24"/>
              </w:rPr>
            </w:pPr>
            <w:r w:rsidRPr="003C5252">
              <w:rPr>
                <w:rFonts w:eastAsia="Times New Roman" w:cs="Calibri"/>
                <w:kern w:val="28"/>
                <w:sz w:val="24"/>
                <w:szCs w:val="24"/>
              </w:rPr>
              <w:t>Bryan</w:t>
            </w:r>
          </w:p>
        </w:tc>
        <w:tc>
          <w:tcPr>
            <w:tcW w:w="902" w:type="dxa"/>
            <w:shd w:val="clear" w:color="auto" w:fill="000000" w:themeFill="text1"/>
            <w:noWrap/>
            <w:hideMark/>
          </w:tcPr>
          <w:p w:rsidR="003F3456" w:rsidRPr="003C5252" w:rsidRDefault="003F3456" w:rsidP="001237B1">
            <w:pPr>
              <w:widowControl w:val="0"/>
              <w:jc w:val="center"/>
              <w:cnfStyle w:val="100000000000" w:firstRow="1" w:lastRow="0" w:firstColumn="0" w:lastColumn="0" w:oddVBand="0" w:evenVBand="0" w:oddHBand="0" w:evenHBand="0" w:firstRowFirstColumn="0" w:firstRowLastColumn="0" w:lastRowFirstColumn="0" w:lastRowLastColumn="0"/>
              <w:rPr>
                <w:rFonts w:eastAsia="Times New Roman" w:cs="Calibri"/>
                <w:kern w:val="28"/>
                <w:sz w:val="24"/>
                <w:szCs w:val="24"/>
              </w:rPr>
            </w:pPr>
            <w:r w:rsidRPr="003C5252">
              <w:rPr>
                <w:rFonts w:eastAsia="Times New Roman" w:cs="Calibri"/>
                <w:kern w:val="28"/>
                <w:sz w:val="24"/>
                <w:szCs w:val="24"/>
              </w:rPr>
              <w:t>Carter</w:t>
            </w:r>
          </w:p>
        </w:tc>
        <w:tc>
          <w:tcPr>
            <w:tcW w:w="902" w:type="dxa"/>
            <w:shd w:val="clear" w:color="auto" w:fill="000000" w:themeFill="text1"/>
            <w:noWrap/>
            <w:hideMark/>
          </w:tcPr>
          <w:p w:rsidR="003F3456" w:rsidRPr="003C5252" w:rsidRDefault="003F3456" w:rsidP="001237B1">
            <w:pPr>
              <w:widowControl w:val="0"/>
              <w:jc w:val="center"/>
              <w:cnfStyle w:val="100000000000" w:firstRow="1" w:lastRow="0" w:firstColumn="0" w:lastColumn="0" w:oddVBand="0" w:evenVBand="0" w:oddHBand="0" w:evenHBand="0" w:firstRowFirstColumn="0" w:firstRowLastColumn="0" w:lastRowFirstColumn="0" w:lastRowLastColumn="0"/>
              <w:rPr>
                <w:rFonts w:eastAsia="Times New Roman" w:cs="Calibri"/>
                <w:kern w:val="28"/>
                <w:sz w:val="24"/>
                <w:szCs w:val="24"/>
              </w:rPr>
            </w:pPr>
            <w:r w:rsidRPr="003C5252">
              <w:rPr>
                <w:rFonts w:eastAsia="Times New Roman" w:cs="Calibri"/>
                <w:kern w:val="28"/>
                <w:sz w:val="24"/>
                <w:szCs w:val="24"/>
              </w:rPr>
              <w:t>Garvin</w:t>
            </w:r>
          </w:p>
        </w:tc>
        <w:tc>
          <w:tcPr>
            <w:tcW w:w="1114" w:type="dxa"/>
            <w:shd w:val="clear" w:color="auto" w:fill="000000" w:themeFill="text1"/>
            <w:noWrap/>
            <w:hideMark/>
          </w:tcPr>
          <w:p w:rsidR="003F3456" w:rsidRPr="003C5252" w:rsidRDefault="003F3456" w:rsidP="001237B1">
            <w:pPr>
              <w:widowControl w:val="0"/>
              <w:jc w:val="center"/>
              <w:cnfStyle w:val="100000000000" w:firstRow="1" w:lastRow="0" w:firstColumn="0" w:lastColumn="0" w:oddVBand="0" w:evenVBand="0" w:oddHBand="0" w:evenHBand="0" w:firstRowFirstColumn="0" w:firstRowLastColumn="0" w:lastRowFirstColumn="0" w:lastRowLastColumn="0"/>
              <w:rPr>
                <w:rFonts w:eastAsia="Times New Roman" w:cs="Calibri"/>
                <w:kern w:val="28"/>
                <w:sz w:val="24"/>
                <w:szCs w:val="24"/>
              </w:rPr>
            </w:pPr>
            <w:r w:rsidRPr="003C5252">
              <w:rPr>
                <w:rFonts w:eastAsia="Times New Roman" w:cs="Calibri"/>
                <w:kern w:val="28"/>
                <w:sz w:val="24"/>
                <w:szCs w:val="24"/>
              </w:rPr>
              <w:t>Johnston</w:t>
            </w:r>
          </w:p>
        </w:tc>
        <w:tc>
          <w:tcPr>
            <w:tcW w:w="876" w:type="dxa"/>
            <w:shd w:val="clear" w:color="auto" w:fill="000000" w:themeFill="text1"/>
            <w:noWrap/>
            <w:hideMark/>
          </w:tcPr>
          <w:p w:rsidR="003F3456" w:rsidRPr="003C5252" w:rsidRDefault="003F3456" w:rsidP="001237B1">
            <w:pPr>
              <w:widowControl w:val="0"/>
              <w:jc w:val="center"/>
              <w:cnfStyle w:val="100000000000" w:firstRow="1" w:lastRow="0" w:firstColumn="0" w:lastColumn="0" w:oddVBand="0" w:evenVBand="0" w:oddHBand="0" w:evenHBand="0" w:firstRowFirstColumn="0" w:firstRowLastColumn="0" w:lastRowFirstColumn="0" w:lastRowLastColumn="0"/>
              <w:rPr>
                <w:rFonts w:eastAsia="Times New Roman" w:cs="Calibri"/>
                <w:kern w:val="28"/>
                <w:sz w:val="24"/>
                <w:szCs w:val="24"/>
              </w:rPr>
            </w:pPr>
            <w:r w:rsidRPr="003C5252">
              <w:rPr>
                <w:rFonts w:eastAsia="Times New Roman" w:cs="Calibri"/>
                <w:kern w:val="28"/>
                <w:sz w:val="24"/>
                <w:szCs w:val="24"/>
              </w:rPr>
              <w:t>Love</w:t>
            </w:r>
          </w:p>
        </w:tc>
        <w:tc>
          <w:tcPr>
            <w:tcW w:w="1086" w:type="dxa"/>
            <w:shd w:val="clear" w:color="auto" w:fill="000000" w:themeFill="text1"/>
            <w:noWrap/>
            <w:hideMark/>
          </w:tcPr>
          <w:p w:rsidR="003F3456" w:rsidRPr="003C5252" w:rsidRDefault="003F3456" w:rsidP="001237B1">
            <w:pPr>
              <w:widowControl w:val="0"/>
              <w:jc w:val="center"/>
              <w:cnfStyle w:val="100000000000" w:firstRow="1" w:lastRow="0" w:firstColumn="0" w:lastColumn="0" w:oddVBand="0" w:evenVBand="0" w:oddHBand="0" w:evenHBand="0" w:firstRowFirstColumn="0" w:firstRowLastColumn="0" w:lastRowFirstColumn="0" w:lastRowLastColumn="0"/>
              <w:rPr>
                <w:rFonts w:eastAsia="Times New Roman" w:cs="Calibri"/>
                <w:kern w:val="28"/>
                <w:sz w:val="24"/>
                <w:szCs w:val="24"/>
              </w:rPr>
            </w:pPr>
            <w:r w:rsidRPr="003C5252">
              <w:rPr>
                <w:rFonts w:eastAsia="Times New Roman" w:cs="Calibri"/>
                <w:kern w:val="28"/>
                <w:sz w:val="24"/>
                <w:szCs w:val="24"/>
              </w:rPr>
              <w:t>Marshall</w:t>
            </w:r>
          </w:p>
        </w:tc>
        <w:tc>
          <w:tcPr>
            <w:tcW w:w="954" w:type="dxa"/>
            <w:shd w:val="clear" w:color="auto" w:fill="000000" w:themeFill="text1"/>
            <w:noWrap/>
            <w:hideMark/>
          </w:tcPr>
          <w:p w:rsidR="003F3456" w:rsidRPr="003C5252" w:rsidRDefault="003F3456" w:rsidP="001237B1">
            <w:pPr>
              <w:widowControl w:val="0"/>
              <w:jc w:val="center"/>
              <w:cnfStyle w:val="100000000000" w:firstRow="1" w:lastRow="0" w:firstColumn="0" w:lastColumn="0" w:oddVBand="0" w:evenVBand="0" w:oddHBand="0" w:evenHBand="0" w:firstRowFirstColumn="0" w:firstRowLastColumn="0" w:lastRowFirstColumn="0" w:lastRowLastColumn="0"/>
              <w:rPr>
                <w:rFonts w:eastAsia="Times New Roman" w:cs="Calibri"/>
                <w:kern w:val="28"/>
                <w:sz w:val="24"/>
                <w:szCs w:val="24"/>
              </w:rPr>
            </w:pPr>
            <w:r w:rsidRPr="003C5252">
              <w:rPr>
                <w:rFonts w:eastAsia="Times New Roman" w:cs="Calibri"/>
                <w:kern w:val="28"/>
                <w:sz w:val="24"/>
                <w:szCs w:val="24"/>
              </w:rPr>
              <w:t>Murray</w:t>
            </w:r>
          </w:p>
        </w:tc>
        <w:tc>
          <w:tcPr>
            <w:tcW w:w="1122" w:type="dxa"/>
            <w:shd w:val="clear" w:color="auto" w:fill="000000" w:themeFill="text1"/>
            <w:noWrap/>
            <w:hideMark/>
          </w:tcPr>
          <w:p w:rsidR="003F3456" w:rsidRPr="003C5252" w:rsidRDefault="003F3456" w:rsidP="001237B1">
            <w:pPr>
              <w:widowControl w:val="0"/>
              <w:jc w:val="center"/>
              <w:cnfStyle w:val="100000000000" w:firstRow="1" w:lastRow="0" w:firstColumn="0" w:lastColumn="0" w:oddVBand="0" w:evenVBand="0" w:oddHBand="0" w:evenHBand="0" w:firstRowFirstColumn="0" w:firstRowLastColumn="0" w:lastRowFirstColumn="0" w:lastRowLastColumn="0"/>
              <w:rPr>
                <w:rFonts w:eastAsia="Times New Roman" w:cs="Calibri"/>
                <w:kern w:val="28"/>
                <w:sz w:val="24"/>
                <w:szCs w:val="24"/>
              </w:rPr>
            </w:pPr>
            <w:r w:rsidRPr="003C5252">
              <w:rPr>
                <w:rFonts w:eastAsia="Times New Roman" w:cs="Calibri"/>
                <w:kern w:val="28"/>
                <w:sz w:val="24"/>
                <w:szCs w:val="24"/>
              </w:rPr>
              <w:t>Pontotoc</w:t>
            </w:r>
          </w:p>
        </w:tc>
      </w:tr>
      <w:tr w:rsidR="003F3456" w:rsidRPr="003C5252" w:rsidTr="0001175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 w:type="dxa"/>
            <w:gridSpan w:val="2"/>
            <w:noWrap/>
            <w:vAlign w:val="center"/>
            <w:hideMark/>
          </w:tcPr>
          <w:p w:rsidR="003F3456" w:rsidRPr="003C5252" w:rsidRDefault="003F3456" w:rsidP="001237B1">
            <w:pPr>
              <w:widowControl w:val="0"/>
              <w:jc w:val="center"/>
              <w:rPr>
                <w:rFonts w:eastAsia="Times New Roman" w:cs="Calibri"/>
                <w:color w:val="000000"/>
                <w:kern w:val="28"/>
                <w:sz w:val="24"/>
                <w:szCs w:val="24"/>
              </w:rPr>
            </w:pPr>
            <w:r>
              <w:rPr>
                <w:rFonts w:eastAsia="Times New Roman" w:cs="Calibri"/>
                <w:color w:val="000000"/>
                <w:kern w:val="28"/>
                <w:sz w:val="24"/>
                <w:szCs w:val="24"/>
              </w:rPr>
              <w:t>2010</w:t>
            </w:r>
          </w:p>
        </w:tc>
        <w:tc>
          <w:tcPr>
            <w:tcW w:w="783" w:type="dxa"/>
          </w:tcPr>
          <w:p w:rsidR="003F3456" w:rsidRDefault="003F3456"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42.5</w:t>
            </w:r>
          </w:p>
        </w:tc>
        <w:tc>
          <w:tcPr>
            <w:tcW w:w="829" w:type="dxa"/>
            <w:noWrap/>
            <w:vAlign w:val="center"/>
            <w:hideMark/>
          </w:tcPr>
          <w:p w:rsidR="003F3456" w:rsidRPr="003C5252" w:rsidRDefault="00011750"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24.2</w:t>
            </w:r>
          </w:p>
        </w:tc>
        <w:tc>
          <w:tcPr>
            <w:tcW w:w="902" w:type="dxa"/>
            <w:noWrap/>
            <w:vAlign w:val="center"/>
            <w:hideMark/>
          </w:tcPr>
          <w:p w:rsidR="003F3456" w:rsidRPr="003C5252" w:rsidRDefault="00011750"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37.0</w:t>
            </w:r>
          </w:p>
        </w:tc>
        <w:tc>
          <w:tcPr>
            <w:tcW w:w="902" w:type="dxa"/>
            <w:noWrap/>
            <w:vAlign w:val="center"/>
            <w:hideMark/>
          </w:tcPr>
          <w:p w:rsidR="003F3456" w:rsidRPr="003C5252" w:rsidRDefault="00011750"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34.8</w:t>
            </w:r>
          </w:p>
        </w:tc>
        <w:tc>
          <w:tcPr>
            <w:tcW w:w="1114" w:type="dxa"/>
            <w:noWrap/>
            <w:vAlign w:val="center"/>
            <w:hideMark/>
          </w:tcPr>
          <w:p w:rsidR="003F3456" w:rsidRPr="003C5252" w:rsidRDefault="00011750"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0.0</w:t>
            </w:r>
          </w:p>
        </w:tc>
        <w:tc>
          <w:tcPr>
            <w:tcW w:w="876" w:type="dxa"/>
            <w:noWrap/>
            <w:vAlign w:val="center"/>
            <w:hideMark/>
          </w:tcPr>
          <w:p w:rsidR="003F3456" w:rsidRPr="003C5252" w:rsidRDefault="00011750" w:rsidP="00011750">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24.7</w:t>
            </w:r>
          </w:p>
        </w:tc>
        <w:tc>
          <w:tcPr>
            <w:tcW w:w="1086" w:type="dxa"/>
            <w:noWrap/>
            <w:vAlign w:val="center"/>
            <w:hideMark/>
          </w:tcPr>
          <w:p w:rsidR="003F3456" w:rsidRPr="003C5252" w:rsidRDefault="008563A3"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13.7</w:t>
            </w:r>
          </w:p>
        </w:tc>
        <w:tc>
          <w:tcPr>
            <w:tcW w:w="954" w:type="dxa"/>
            <w:noWrap/>
            <w:vAlign w:val="center"/>
            <w:hideMark/>
          </w:tcPr>
          <w:p w:rsidR="003F3456" w:rsidRPr="003C5252" w:rsidRDefault="00DF2B86"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34.1</w:t>
            </w:r>
          </w:p>
        </w:tc>
        <w:tc>
          <w:tcPr>
            <w:tcW w:w="1122" w:type="dxa"/>
            <w:noWrap/>
            <w:vAlign w:val="center"/>
            <w:hideMark/>
          </w:tcPr>
          <w:p w:rsidR="003F3456" w:rsidRPr="003C5252" w:rsidRDefault="00DF2B86"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14.1</w:t>
            </w:r>
          </w:p>
        </w:tc>
      </w:tr>
      <w:tr w:rsidR="003F3456" w:rsidRPr="003C5252" w:rsidTr="0001175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 w:type="dxa"/>
            <w:gridSpan w:val="2"/>
            <w:noWrap/>
            <w:vAlign w:val="center"/>
            <w:hideMark/>
          </w:tcPr>
          <w:p w:rsidR="003F3456" w:rsidRPr="003C5252" w:rsidRDefault="003F3456" w:rsidP="001237B1">
            <w:pPr>
              <w:widowControl w:val="0"/>
              <w:jc w:val="center"/>
              <w:rPr>
                <w:rFonts w:eastAsia="Times New Roman" w:cs="Calibri"/>
                <w:color w:val="000000"/>
                <w:kern w:val="28"/>
                <w:sz w:val="24"/>
                <w:szCs w:val="24"/>
              </w:rPr>
            </w:pPr>
            <w:r>
              <w:rPr>
                <w:rFonts w:eastAsia="Times New Roman" w:cs="Calibri"/>
                <w:color w:val="000000"/>
                <w:kern w:val="28"/>
                <w:sz w:val="24"/>
                <w:szCs w:val="24"/>
              </w:rPr>
              <w:t>2011</w:t>
            </w:r>
          </w:p>
        </w:tc>
        <w:tc>
          <w:tcPr>
            <w:tcW w:w="783" w:type="dxa"/>
          </w:tcPr>
          <w:p w:rsidR="003F3456" w:rsidRPr="003C5252" w:rsidRDefault="00011750"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61.6</w:t>
            </w:r>
          </w:p>
        </w:tc>
        <w:tc>
          <w:tcPr>
            <w:tcW w:w="829" w:type="dxa"/>
            <w:noWrap/>
            <w:vAlign w:val="center"/>
            <w:hideMark/>
          </w:tcPr>
          <w:p w:rsidR="003F3456" w:rsidRPr="003C5252" w:rsidRDefault="00011750"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59.8</w:t>
            </w:r>
          </w:p>
        </w:tc>
        <w:tc>
          <w:tcPr>
            <w:tcW w:w="902" w:type="dxa"/>
            <w:noWrap/>
            <w:vAlign w:val="center"/>
            <w:hideMark/>
          </w:tcPr>
          <w:p w:rsidR="003F3456" w:rsidRPr="003C5252" w:rsidRDefault="00011750"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121.4</w:t>
            </w:r>
          </w:p>
        </w:tc>
        <w:tc>
          <w:tcPr>
            <w:tcW w:w="902" w:type="dxa"/>
            <w:noWrap/>
            <w:vAlign w:val="center"/>
            <w:hideMark/>
          </w:tcPr>
          <w:p w:rsidR="003F3456" w:rsidRPr="003C5252" w:rsidRDefault="00011750"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29.7</w:t>
            </w:r>
          </w:p>
        </w:tc>
        <w:tc>
          <w:tcPr>
            <w:tcW w:w="1114" w:type="dxa"/>
            <w:noWrap/>
            <w:vAlign w:val="center"/>
            <w:hideMark/>
          </w:tcPr>
          <w:p w:rsidR="003F3456" w:rsidRPr="003C5252" w:rsidRDefault="00011750"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0.0</w:t>
            </w:r>
          </w:p>
        </w:tc>
        <w:tc>
          <w:tcPr>
            <w:tcW w:w="876" w:type="dxa"/>
            <w:noWrap/>
            <w:vAlign w:val="center"/>
            <w:hideMark/>
          </w:tcPr>
          <w:p w:rsidR="003F3456" w:rsidRPr="003C5252" w:rsidRDefault="00011750"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0.0</w:t>
            </w:r>
          </w:p>
        </w:tc>
        <w:tc>
          <w:tcPr>
            <w:tcW w:w="1086" w:type="dxa"/>
            <w:noWrap/>
            <w:vAlign w:val="center"/>
            <w:hideMark/>
          </w:tcPr>
          <w:p w:rsidR="003F3456" w:rsidRPr="003C5252" w:rsidRDefault="008563A3"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5.8</w:t>
            </w:r>
          </w:p>
        </w:tc>
        <w:tc>
          <w:tcPr>
            <w:tcW w:w="954" w:type="dxa"/>
            <w:noWrap/>
            <w:vAlign w:val="center"/>
            <w:hideMark/>
          </w:tcPr>
          <w:p w:rsidR="003F3456" w:rsidRPr="003C5252" w:rsidRDefault="00DF2B86"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91.2</w:t>
            </w:r>
          </w:p>
        </w:tc>
        <w:tc>
          <w:tcPr>
            <w:tcW w:w="1122" w:type="dxa"/>
            <w:noWrap/>
            <w:vAlign w:val="center"/>
            <w:hideMark/>
          </w:tcPr>
          <w:p w:rsidR="003F3456" w:rsidRPr="003C5252" w:rsidRDefault="00DF2B86"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13.3</w:t>
            </w:r>
          </w:p>
        </w:tc>
      </w:tr>
      <w:tr w:rsidR="003F3456" w:rsidRPr="003C5252" w:rsidTr="0001175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 w:type="dxa"/>
            <w:gridSpan w:val="2"/>
            <w:noWrap/>
            <w:vAlign w:val="center"/>
            <w:hideMark/>
          </w:tcPr>
          <w:p w:rsidR="003F3456" w:rsidRPr="003C5252" w:rsidRDefault="003F3456" w:rsidP="001237B1">
            <w:pPr>
              <w:widowControl w:val="0"/>
              <w:jc w:val="center"/>
              <w:rPr>
                <w:rFonts w:eastAsia="Times New Roman" w:cs="Calibri"/>
                <w:color w:val="000000"/>
                <w:kern w:val="28"/>
                <w:sz w:val="24"/>
                <w:szCs w:val="24"/>
              </w:rPr>
            </w:pPr>
            <w:r>
              <w:rPr>
                <w:rFonts w:eastAsia="Times New Roman" w:cs="Calibri"/>
                <w:color w:val="000000"/>
                <w:kern w:val="28"/>
                <w:sz w:val="24"/>
                <w:szCs w:val="24"/>
              </w:rPr>
              <w:t>2012</w:t>
            </w:r>
          </w:p>
        </w:tc>
        <w:tc>
          <w:tcPr>
            <w:tcW w:w="783" w:type="dxa"/>
          </w:tcPr>
          <w:p w:rsidR="003F3456" w:rsidRPr="003C5252" w:rsidRDefault="00011750"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58.2</w:t>
            </w:r>
          </w:p>
        </w:tc>
        <w:tc>
          <w:tcPr>
            <w:tcW w:w="829" w:type="dxa"/>
            <w:noWrap/>
            <w:vAlign w:val="center"/>
            <w:hideMark/>
          </w:tcPr>
          <w:p w:rsidR="003F3456" w:rsidRPr="003C5252" w:rsidRDefault="00011750"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158.2</w:t>
            </w:r>
          </w:p>
        </w:tc>
        <w:tc>
          <w:tcPr>
            <w:tcW w:w="902" w:type="dxa"/>
            <w:noWrap/>
            <w:vAlign w:val="center"/>
            <w:hideMark/>
          </w:tcPr>
          <w:p w:rsidR="003F3456" w:rsidRPr="003C5252" w:rsidRDefault="00011750"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81.6</w:t>
            </w:r>
          </w:p>
        </w:tc>
        <w:tc>
          <w:tcPr>
            <w:tcW w:w="902" w:type="dxa"/>
            <w:noWrap/>
            <w:vAlign w:val="center"/>
            <w:hideMark/>
          </w:tcPr>
          <w:p w:rsidR="003F3456" w:rsidRPr="003C5252" w:rsidRDefault="00011750"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29.8</w:t>
            </w:r>
          </w:p>
        </w:tc>
        <w:tc>
          <w:tcPr>
            <w:tcW w:w="1114" w:type="dxa"/>
            <w:noWrap/>
            <w:vAlign w:val="center"/>
            <w:hideMark/>
          </w:tcPr>
          <w:p w:rsidR="003F3456" w:rsidRPr="003C5252" w:rsidRDefault="00011750"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0.0</w:t>
            </w:r>
          </w:p>
        </w:tc>
        <w:tc>
          <w:tcPr>
            <w:tcW w:w="876" w:type="dxa"/>
            <w:noWrap/>
            <w:vAlign w:val="center"/>
            <w:hideMark/>
          </w:tcPr>
          <w:p w:rsidR="003F3456" w:rsidRPr="003C5252" w:rsidRDefault="00011750"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43.2</w:t>
            </w:r>
          </w:p>
        </w:tc>
        <w:tc>
          <w:tcPr>
            <w:tcW w:w="1086" w:type="dxa"/>
            <w:noWrap/>
            <w:vAlign w:val="center"/>
            <w:hideMark/>
          </w:tcPr>
          <w:p w:rsidR="003F3456" w:rsidRPr="003C5252" w:rsidRDefault="008563A3"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0.0</w:t>
            </w:r>
          </w:p>
        </w:tc>
        <w:tc>
          <w:tcPr>
            <w:tcW w:w="954" w:type="dxa"/>
            <w:noWrap/>
            <w:vAlign w:val="center"/>
            <w:hideMark/>
          </w:tcPr>
          <w:p w:rsidR="003F3456" w:rsidRPr="003C5252" w:rsidRDefault="00DF2B86"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155.2</w:t>
            </w:r>
          </w:p>
        </w:tc>
        <w:tc>
          <w:tcPr>
            <w:tcW w:w="1122" w:type="dxa"/>
            <w:noWrap/>
            <w:vAlign w:val="center"/>
            <w:hideMark/>
          </w:tcPr>
          <w:p w:rsidR="003F3456" w:rsidRPr="003C5252" w:rsidRDefault="00DF2B86"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18.6</w:t>
            </w:r>
          </w:p>
        </w:tc>
      </w:tr>
      <w:tr w:rsidR="003F3456" w:rsidRPr="003C5252" w:rsidTr="0001175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 w:type="dxa"/>
            <w:gridSpan w:val="2"/>
            <w:noWrap/>
            <w:vAlign w:val="center"/>
            <w:hideMark/>
          </w:tcPr>
          <w:p w:rsidR="003F3456" w:rsidRPr="003C5252" w:rsidRDefault="003F3456" w:rsidP="001237B1">
            <w:pPr>
              <w:widowControl w:val="0"/>
              <w:jc w:val="center"/>
              <w:rPr>
                <w:rFonts w:eastAsia="Times New Roman" w:cs="Calibri"/>
                <w:color w:val="000000"/>
                <w:kern w:val="28"/>
                <w:sz w:val="24"/>
                <w:szCs w:val="24"/>
              </w:rPr>
            </w:pPr>
            <w:r>
              <w:rPr>
                <w:rFonts w:eastAsia="Times New Roman" w:cs="Calibri"/>
                <w:color w:val="000000"/>
                <w:kern w:val="28"/>
                <w:sz w:val="24"/>
                <w:szCs w:val="24"/>
              </w:rPr>
              <w:t>2013</w:t>
            </w:r>
          </w:p>
        </w:tc>
        <w:tc>
          <w:tcPr>
            <w:tcW w:w="783" w:type="dxa"/>
          </w:tcPr>
          <w:p w:rsidR="003F3456" w:rsidRPr="003C5252" w:rsidRDefault="00011750"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115.3</w:t>
            </w:r>
          </w:p>
        </w:tc>
        <w:tc>
          <w:tcPr>
            <w:tcW w:w="829" w:type="dxa"/>
            <w:noWrap/>
            <w:vAlign w:val="center"/>
            <w:hideMark/>
          </w:tcPr>
          <w:p w:rsidR="003F3456" w:rsidRPr="003C5252" w:rsidRDefault="00011750"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66.2</w:t>
            </w:r>
          </w:p>
        </w:tc>
        <w:tc>
          <w:tcPr>
            <w:tcW w:w="902" w:type="dxa"/>
            <w:noWrap/>
            <w:vAlign w:val="center"/>
            <w:hideMark/>
          </w:tcPr>
          <w:p w:rsidR="003F3456" w:rsidRPr="003C5252" w:rsidRDefault="00011750"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198.9</w:t>
            </w:r>
          </w:p>
        </w:tc>
        <w:tc>
          <w:tcPr>
            <w:tcW w:w="902" w:type="dxa"/>
            <w:noWrap/>
            <w:vAlign w:val="center"/>
            <w:hideMark/>
          </w:tcPr>
          <w:p w:rsidR="003F3456" w:rsidRPr="003C5252" w:rsidRDefault="00011750"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65.2</w:t>
            </w:r>
          </w:p>
        </w:tc>
        <w:tc>
          <w:tcPr>
            <w:tcW w:w="1114" w:type="dxa"/>
            <w:noWrap/>
            <w:vAlign w:val="center"/>
            <w:hideMark/>
          </w:tcPr>
          <w:p w:rsidR="003F3456" w:rsidRPr="003C5252" w:rsidRDefault="00011750"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0.0</w:t>
            </w:r>
          </w:p>
        </w:tc>
        <w:tc>
          <w:tcPr>
            <w:tcW w:w="876" w:type="dxa"/>
            <w:noWrap/>
            <w:vAlign w:val="center"/>
            <w:hideMark/>
          </w:tcPr>
          <w:p w:rsidR="003F3456" w:rsidRPr="003C5252" w:rsidRDefault="00011750"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0.0</w:t>
            </w:r>
          </w:p>
        </w:tc>
        <w:tc>
          <w:tcPr>
            <w:tcW w:w="1086" w:type="dxa"/>
            <w:noWrap/>
            <w:vAlign w:val="center"/>
            <w:hideMark/>
          </w:tcPr>
          <w:p w:rsidR="003F3456" w:rsidRPr="003C5252" w:rsidRDefault="008563A3"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0.0</w:t>
            </w:r>
          </w:p>
        </w:tc>
        <w:tc>
          <w:tcPr>
            <w:tcW w:w="954" w:type="dxa"/>
            <w:noWrap/>
            <w:vAlign w:val="center"/>
            <w:hideMark/>
          </w:tcPr>
          <w:p w:rsidR="003F3456" w:rsidRPr="003C5252" w:rsidRDefault="00DF2B86"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0.0</w:t>
            </w:r>
          </w:p>
        </w:tc>
        <w:tc>
          <w:tcPr>
            <w:tcW w:w="1122" w:type="dxa"/>
            <w:noWrap/>
            <w:vAlign w:val="center"/>
            <w:hideMark/>
          </w:tcPr>
          <w:p w:rsidR="003F3456" w:rsidRPr="003C5252" w:rsidRDefault="00DF2B86"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53.5</w:t>
            </w:r>
          </w:p>
        </w:tc>
      </w:tr>
      <w:tr w:rsidR="003F3456" w:rsidRPr="003C5252" w:rsidTr="0001175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 w:type="dxa"/>
            <w:gridSpan w:val="2"/>
            <w:noWrap/>
            <w:vAlign w:val="center"/>
            <w:hideMark/>
          </w:tcPr>
          <w:p w:rsidR="003F3456" w:rsidRPr="003C5252" w:rsidRDefault="003F3456" w:rsidP="001237B1">
            <w:pPr>
              <w:widowControl w:val="0"/>
              <w:jc w:val="center"/>
              <w:rPr>
                <w:rFonts w:eastAsia="Times New Roman" w:cs="Calibri"/>
                <w:color w:val="000000"/>
                <w:kern w:val="28"/>
                <w:sz w:val="24"/>
                <w:szCs w:val="24"/>
              </w:rPr>
            </w:pPr>
            <w:r>
              <w:rPr>
                <w:rFonts w:eastAsia="Times New Roman" w:cs="Calibri"/>
                <w:color w:val="000000"/>
                <w:kern w:val="28"/>
                <w:sz w:val="24"/>
                <w:szCs w:val="24"/>
              </w:rPr>
              <w:t>2014</w:t>
            </w:r>
          </w:p>
        </w:tc>
        <w:tc>
          <w:tcPr>
            <w:tcW w:w="783" w:type="dxa"/>
          </w:tcPr>
          <w:p w:rsidR="003F3456" w:rsidRPr="003C5252" w:rsidRDefault="00011750"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116.9</w:t>
            </w:r>
          </w:p>
        </w:tc>
        <w:tc>
          <w:tcPr>
            <w:tcW w:w="829" w:type="dxa"/>
            <w:noWrap/>
            <w:vAlign w:val="center"/>
            <w:hideMark/>
          </w:tcPr>
          <w:p w:rsidR="003F3456" w:rsidRPr="003C5252" w:rsidRDefault="00011750"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43.6</w:t>
            </w:r>
          </w:p>
        </w:tc>
        <w:tc>
          <w:tcPr>
            <w:tcW w:w="902" w:type="dxa"/>
            <w:noWrap/>
            <w:vAlign w:val="center"/>
            <w:hideMark/>
          </w:tcPr>
          <w:p w:rsidR="003F3456" w:rsidRPr="003C5252" w:rsidRDefault="00011750"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285.3</w:t>
            </w:r>
          </w:p>
        </w:tc>
        <w:tc>
          <w:tcPr>
            <w:tcW w:w="902" w:type="dxa"/>
            <w:noWrap/>
            <w:vAlign w:val="center"/>
            <w:hideMark/>
          </w:tcPr>
          <w:p w:rsidR="003F3456" w:rsidRPr="003C5252" w:rsidRDefault="00011750"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65.7</w:t>
            </w:r>
          </w:p>
        </w:tc>
        <w:tc>
          <w:tcPr>
            <w:tcW w:w="1114" w:type="dxa"/>
            <w:noWrap/>
            <w:vAlign w:val="center"/>
            <w:hideMark/>
          </w:tcPr>
          <w:p w:rsidR="003F3456" w:rsidRPr="003C5252" w:rsidRDefault="00011750"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0.0</w:t>
            </w:r>
          </w:p>
        </w:tc>
        <w:tc>
          <w:tcPr>
            <w:tcW w:w="876" w:type="dxa"/>
            <w:noWrap/>
            <w:vAlign w:val="center"/>
            <w:hideMark/>
          </w:tcPr>
          <w:p w:rsidR="003F3456" w:rsidRPr="003C5252" w:rsidRDefault="00011750"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0.0</w:t>
            </w:r>
          </w:p>
        </w:tc>
        <w:tc>
          <w:tcPr>
            <w:tcW w:w="1086" w:type="dxa"/>
            <w:noWrap/>
            <w:vAlign w:val="center"/>
            <w:hideMark/>
          </w:tcPr>
          <w:p w:rsidR="003F3456" w:rsidRPr="003C5252" w:rsidRDefault="008563A3"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59.2</w:t>
            </w:r>
          </w:p>
        </w:tc>
        <w:tc>
          <w:tcPr>
            <w:tcW w:w="954" w:type="dxa"/>
            <w:noWrap/>
            <w:vAlign w:val="center"/>
            <w:hideMark/>
          </w:tcPr>
          <w:p w:rsidR="003F3456" w:rsidRPr="003C5252" w:rsidRDefault="00DF2B86"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66.8</w:t>
            </w:r>
          </w:p>
        </w:tc>
        <w:tc>
          <w:tcPr>
            <w:tcW w:w="1122" w:type="dxa"/>
            <w:noWrap/>
            <w:vAlign w:val="center"/>
            <w:hideMark/>
          </w:tcPr>
          <w:p w:rsidR="003F3456" w:rsidRPr="003C5252" w:rsidRDefault="00DF2B86"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106.1</w:t>
            </w:r>
          </w:p>
        </w:tc>
      </w:tr>
      <w:tr w:rsidR="00011750" w:rsidRPr="003C5252" w:rsidTr="0001175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 w:type="dxa"/>
            <w:gridSpan w:val="2"/>
            <w:noWrap/>
            <w:vAlign w:val="center"/>
          </w:tcPr>
          <w:p w:rsidR="00011750" w:rsidRDefault="00011750" w:rsidP="001237B1">
            <w:pPr>
              <w:widowControl w:val="0"/>
              <w:jc w:val="center"/>
              <w:rPr>
                <w:rFonts w:eastAsia="Times New Roman" w:cs="Calibri"/>
                <w:color w:val="000000"/>
                <w:kern w:val="28"/>
                <w:sz w:val="24"/>
                <w:szCs w:val="24"/>
              </w:rPr>
            </w:pPr>
            <w:r>
              <w:rPr>
                <w:rFonts w:eastAsia="Times New Roman" w:cs="Calibri"/>
                <w:color w:val="000000"/>
                <w:kern w:val="28"/>
                <w:sz w:val="24"/>
                <w:szCs w:val="24"/>
              </w:rPr>
              <w:t>2015</w:t>
            </w:r>
          </w:p>
        </w:tc>
        <w:tc>
          <w:tcPr>
            <w:tcW w:w="783" w:type="dxa"/>
          </w:tcPr>
          <w:p w:rsidR="00011750" w:rsidRDefault="00011750"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106.0</w:t>
            </w:r>
          </w:p>
        </w:tc>
        <w:tc>
          <w:tcPr>
            <w:tcW w:w="829" w:type="dxa"/>
            <w:noWrap/>
            <w:vAlign w:val="center"/>
          </w:tcPr>
          <w:p w:rsidR="00011750" w:rsidRPr="003C5252" w:rsidRDefault="00011750"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0.0</w:t>
            </w:r>
          </w:p>
        </w:tc>
        <w:tc>
          <w:tcPr>
            <w:tcW w:w="902" w:type="dxa"/>
            <w:noWrap/>
            <w:vAlign w:val="center"/>
          </w:tcPr>
          <w:p w:rsidR="00011750" w:rsidRPr="003C5252" w:rsidRDefault="00011750"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145.7</w:t>
            </w:r>
          </w:p>
        </w:tc>
        <w:tc>
          <w:tcPr>
            <w:tcW w:w="902" w:type="dxa"/>
            <w:noWrap/>
            <w:vAlign w:val="center"/>
          </w:tcPr>
          <w:p w:rsidR="00011750" w:rsidRPr="003C5252" w:rsidRDefault="00011750"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126.2</w:t>
            </w:r>
          </w:p>
        </w:tc>
        <w:tc>
          <w:tcPr>
            <w:tcW w:w="1114" w:type="dxa"/>
            <w:noWrap/>
            <w:vAlign w:val="center"/>
          </w:tcPr>
          <w:p w:rsidR="00011750" w:rsidRPr="003C5252" w:rsidRDefault="00011750"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0.0</w:t>
            </w:r>
          </w:p>
        </w:tc>
        <w:tc>
          <w:tcPr>
            <w:tcW w:w="876" w:type="dxa"/>
            <w:noWrap/>
            <w:vAlign w:val="center"/>
          </w:tcPr>
          <w:p w:rsidR="00011750" w:rsidRPr="003C5252" w:rsidRDefault="008563A3"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88.0</w:t>
            </w:r>
          </w:p>
        </w:tc>
        <w:tc>
          <w:tcPr>
            <w:tcW w:w="1086" w:type="dxa"/>
            <w:noWrap/>
            <w:vAlign w:val="center"/>
          </w:tcPr>
          <w:p w:rsidR="00011750" w:rsidRPr="003C5252" w:rsidRDefault="008563A3"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0.0</w:t>
            </w:r>
          </w:p>
        </w:tc>
        <w:tc>
          <w:tcPr>
            <w:tcW w:w="954" w:type="dxa"/>
            <w:noWrap/>
            <w:vAlign w:val="center"/>
          </w:tcPr>
          <w:p w:rsidR="00011750" w:rsidRPr="003C5252" w:rsidRDefault="00DF2B86"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0.0</w:t>
            </w:r>
          </w:p>
        </w:tc>
        <w:tc>
          <w:tcPr>
            <w:tcW w:w="1122" w:type="dxa"/>
            <w:noWrap/>
            <w:vAlign w:val="center"/>
          </w:tcPr>
          <w:p w:rsidR="00011750" w:rsidRPr="003C5252" w:rsidRDefault="00DF2B86"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106.3</w:t>
            </w:r>
          </w:p>
        </w:tc>
      </w:tr>
      <w:tr w:rsidR="00011750" w:rsidRPr="003C5252" w:rsidTr="0001175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 w:type="dxa"/>
            <w:gridSpan w:val="2"/>
            <w:noWrap/>
            <w:vAlign w:val="center"/>
          </w:tcPr>
          <w:p w:rsidR="00011750" w:rsidRDefault="00011750" w:rsidP="001237B1">
            <w:pPr>
              <w:widowControl w:val="0"/>
              <w:jc w:val="center"/>
              <w:rPr>
                <w:rFonts w:eastAsia="Times New Roman" w:cs="Calibri"/>
                <w:color w:val="000000"/>
                <w:kern w:val="28"/>
                <w:sz w:val="24"/>
                <w:szCs w:val="24"/>
              </w:rPr>
            </w:pPr>
            <w:r>
              <w:rPr>
                <w:rFonts w:eastAsia="Times New Roman" w:cs="Calibri"/>
                <w:color w:val="000000"/>
                <w:kern w:val="28"/>
                <w:sz w:val="24"/>
                <w:szCs w:val="24"/>
              </w:rPr>
              <w:t>2016</w:t>
            </w:r>
          </w:p>
        </w:tc>
        <w:tc>
          <w:tcPr>
            <w:tcW w:w="783" w:type="dxa"/>
          </w:tcPr>
          <w:p w:rsidR="00011750" w:rsidRDefault="00011750"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112.0</w:t>
            </w:r>
          </w:p>
        </w:tc>
        <w:tc>
          <w:tcPr>
            <w:tcW w:w="829" w:type="dxa"/>
            <w:noWrap/>
            <w:vAlign w:val="center"/>
          </w:tcPr>
          <w:p w:rsidR="00011750" w:rsidRPr="003C5252" w:rsidRDefault="00011750"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106.5</w:t>
            </w:r>
          </w:p>
        </w:tc>
        <w:tc>
          <w:tcPr>
            <w:tcW w:w="902" w:type="dxa"/>
            <w:noWrap/>
            <w:vAlign w:val="center"/>
          </w:tcPr>
          <w:p w:rsidR="00011750" w:rsidRPr="003C5252" w:rsidRDefault="00011750"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0.0</w:t>
            </w:r>
          </w:p>
        </w:tc>
        <w:tc>
          <w:tcPr>
            <w:tcW w:w="902" w:type="dxa"/>
            <w:noWrap/>
            <w:vAlign w:val="center"/>
          </w:tcPr>
          <w:p w:rsidR="00011750" w:rsidRPr="003C5252" w:rsidRDefault="00011750"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158.7</w:t>
            </w:r>
          </w:p>
        </w:tc>
        <w:tc>
          <w:tcPr>
            <w:tcW w:w="1114" w:type="dxa"/>
            <w:noWrap/>
            <w:vAlign w:val="center"/>
          </w:tcPr>
          <w:p w:rsidR="00011750" w:rsidRPr="003C5252" w:rsidRDefault="00011750"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0.0</w:t>
            </w:r>
          </w:p>
        </w:tc>
        <w:tc>
          <w:tcPr>
            <w:tcW w:w="876" w:type="dxa"/>
            <w:noWrap/>
            <w:vAlign w:val="center"/>
          </w:tcPr>
          <w:p w:rsidR="00011750" w:rsidRPr="003C5252" w:rsidRDefault="008563A3"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0.0</w:t>
            </w:r>
          </w:p>
        </w:tc>
        <w:tc>
          <w:tcPr>
            <w:tcW w:w="1086" w:type="dxa"/>
            <w:noWrap/>
            <w:vAlign w:val="center"/>
          </w:tcPr>
          <w:p w:rsidR="00011750" w:rsidRPr="003C5252" w:rsidRDefault="008563A3"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56.2</w:t>
            </w:r>
          </w:p>
        </w:tc>
        <w:tc>
          <w:tcPr>
            <w:tcW w:w="954" w:type="dxa"/>
            <w:noWrap/>
            <w:vAlign w:val="center"/>
          </w:tcPr>
          <w:p w:rsidR="00011750" w:rsidRPr="003C5252" w:rsidRDefault="00DF2B86"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66.1</w:t>
            </w:r>
          </w:p>
        </w:tc>
        <w:tc>
          <w:tcPr>
            <w:tcW w:w="1122" w:type="dxa"/>
            <w:noWrap/>
            <w:vAlign w:val="center"/>
          </w:tcPr>
          <w:p w:rsidR="00011750" w:rsidRPr="003C5252" w:rsidRDefault="00DF2B86"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76.9</w:t>
            </w:r>
          </w:p>
        </w:tc>
      </w:tr>
      <w:tr w:rsidR="003F3456" w:rsidRPr="003C5252" w:rsidTr="0001175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1" w:type="dxa"/>
          </w:tcPr>
          <w:p w:rsidR="003F3456" w:rsidRPr="00D17B97" w:rsidRDefault="003F3456" w:rsidP="001237B1">
            <w:pPr>
              <w:widowControl w:val="0"/>
              <w:jc w:val="center"/>
              <w:rPr>
                <w:rFonts w:eastAsia="Times New Roman" w:cs="Calibri"/>
                <w:color w:val="000000"/>
                <w:kern w:val="28"/>
              </w:rPr>
            </w:pPr>
          </w:p>
        </w:tc>
        <w:tc>
          <w:tcPr>
            <w:tcW w:w="8745" w:type="dxa"/>
            <w:gridSpan w:val="10"/>
            <w:noWrap/>
            <w:vAlign w:val="center"/>
          </w:tcPr>
          <w:p w:rsidR="003F3456" w:rsidRPr="00FC7ABD" w:rsidRDefault="003F3456" w:rsidP="001237B1">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b/>
                <w:color w:val="000000"/>
                <w:kern w:val="28"/>
                <w:sz w:val="18"/>
                <w:szCs w:val="18"/>
              </w:rPr>
            </w:pPr>
            <w:r w:rsidRPr="00FC7ABD">
              <w:rPr>
                <w:rFonts w:eastAsia="Times New Roman" w:cs="Calibri"/>
                <w:b/>
                <w:color w:val="000000"/>
                <w:kern w:val="28"/>
                <w:sz w:val="18"/>
                <w:szCs w:val="18"/>
              </w:rPr>
              <w:t xml:space="preserve">Source: </w:t>
            </w:r>
            <w:r w:rsidR="00B1017B" w:rsidRPr="00FC7ABD">
              <w:rPr>
                <w:rFonts w:eastAsia="Times New Roman" w:cs="Calibri"/>
                <w:b/>
                <w:color w:val="000000"/>
                <w:kern w:val="28"/>
                <w:sz w:val="18"/>
                <w:szCs w:val="18"/>
              </w:rPr>
              <w:t xml:space="preserve">Kids Count Data Center - </w:t>
            </w:r>
            <w:r w:rsidRPr="00FC7ABD">
              <w:rPr>
                <w:rFonts w:eastAsia="Times New Roman" w:cs="Calibri"/>
                <w:b/>
                <w:color w:val="000000"/>
                <w:kern w:val="28"/>
                <w:sz w:val="18"/>
                <w:szCs w:val="18"/>
              </w:rPr>
              <w:t>Oklahoma State Bureau of Investigation</w:t>
            </w:r>
          </w:p>
          <w:p w:rsidR="003F3456" w:rsidRPr="00D17B97" w:rsidRDefault="003F3456" w:rsidP="003F3456">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rPr>
            </w:pPr>
            <w:r w:rsidRPr="00FC7ABD">
              <w:rPr>
                <w:rFonts w:eastAsia="Times New Roman" w:cs="Calibri"/>
                <w:b/>
                <w:color w:val="000000"/>
                <w:kern w:val="28"/>
                <w:sz w:val="18"/>
                <w:szCs w:val="18"/>
              </w:rPr>
              <w:t>Rates are calculated per 100,000</w:t>
            </w:r>
          </w:p>
        </w:tc>
      </w:tr>
    </w:tbl>
    <w:p w:rsidR="001B70B4" w:rsidRPr="003C5252" w:rsidRDefault="001B70B4" w:rsidP="001B70B4">
      <w:pPr>
        <w:widowControl w:val="0"/>
        <w:spacing w:after="0" w:line="240" w:lineRule="auto"/>
        <w:rPr>
          <w:rFonts w:ascii="Calibri" w:eastAsia="Times New Roman" w:hAnsi="Calibri" w:cs="Calibri"/>
          <w:b/>
          <w:color w:val="000000"/>
          <w:kern w:val="28"/>
          <w:sz w:val="24"/>
          <w:szCs w:val="24"/>
        </w:rPr>
      </w:pPr>
    </w:p>
    <w:p w:rsidR="001B70B4" w:rsidRPr="001133C0" w:rsidRDefault="001B70B4" w:rsidP="001B70B4">
      <w:pPr>
        <w:widowControl w:val="0"/>
        <w:spacing w:after="0" w:line="240" w:lineRule="auto"/>
        <w:rPr>
          <w:rFonts w:eastAsia="Times New Roman" w:cstheme="minorHAnsi"/>
          <w:color w:val="000000"/>
          <w:kern w:val="28"/>
          <w:sz w:val="18"/>
          <w:szCs w:val="18"/>
        </w:rPr>
      </w:pPr>
      <w:r w:rsidRPr="001133C0">
        <w:rPr>
          <w:rFonts w:eastAsia="Times New Roman" w:cstheme="minorHAnsi"/>
          <w:b/>
          <w:color w:val="000000"/>
          <w:kern w:val="28"/>
          <w:sz w:val="24"/>
          <w:szCs w:val="24"/>
        </w:rPr>
        <w:t xml:space="preserve">Juvenile Arrests – Violent Crime </w:t>
      </w:r>
    </w:p>
    <w:p w:rsidR="00DF2B86" w:rsidRDefault="00DF2B86" w:rsidP="001B70B4">
      <w:pPr>
        <w:widowControl w:val="0"/>
        <w:spacing w:after="0" w:line="240" w:lineRule="auto"/>
        <w:rPr>
          <w:rFonts w:eastAsia="Times New Roman" w:cstheme="minorHAnsi"/>
          <w:color w:val="000000"/>
          <w:kern w:val="28"/>
          <w:sz w:val="24"/>
          <w:szCs w:val="24"/>
        </w:rPr>
      </w:pPr>
    </w:p>
    <w:p w:rsidR="001B70B4" w:rsidRPr="001133C0" w:rsidRDefault="00B1017B" w:rsidP="00B1017B">
      <w:pPr>
        <w:widowControl w:val="0"/>
        <w:spacing w:after="0" w:line="240" w:lineRule="auto"/>
        <w:jc w:val="both"/>
        <w:rPr>
          <w:rFonts w:eastAsia="Times New Roman" w:cstheme="minorHAnsi"/>
          <w:color w:val="000000"/>
          <w:kern w:val="28"/>
          <w:sz w:val="24"/>
          <w:szCs w:val="24"/>
        </w:rPr>
      </w:pPr>
      <w:r>
        <w:rPr>
          <w:rFonts w:eastAsia="Times New Roman" w:cstheme="minorHAnsi"/>
          <w:color w:val="000000"/>
          <w:kern w:val="28"/>
          <w:sz w:val="24"/>
          <w:szCs w:val="24"/>
        </w:rPr>
        <w:t xml:space="preserve">2010-2016 </w:t>
      </w:r>
      <w:r w:rsidR="0083187B">
        <w:rPr>
          <w:rFonts w:eastAsia="Times New Roman" w:cstheme="minorHAnsi"/>
          <w:color w:val="000000"/>
          <w:kern w:val="28"/>
          <w:sz w:val="24"/>
          <w:szCs w:val="24"/>
        </w:rPr>
        <w:t>state and c</w:t>
      </w:r>
      <w:r w:rsidR="001B70B4" w:rsidRPr="001133C0">
        <w:rPr>
          <w:rFonts w:eastAsia="Times New Roman" w:cstheme="minorHAnsi"/>
          <w:color w:val="000000"/>
          <w:kern w:val="28"/>
          <w:sz w:val="24"/>
          <w:szCs w:val="24"/>
        </w:rPr>
        <w:t xml:space="preserve">ounty-level data shows rates of arrests of juveniles for violent crimes.  The rates of arrests are </w:t>
      </w:r>
      <w:r w:rsidR="0048394E">
        <w:rPr>
          <w:rFonts w:eastAsia="Times New Roman" w:cstheme="minorHAnsi"/>
          <w:color w:val="000000"/>
          <w:kern w:val="28"/>
          <w:sz w:val="24"/>
          <w:szCs w:val="24"/>
        </w:rPr>
        <w:t xml:space="preserve">calculated on a yearly basis </w:t>
      </w:r>
      <w:r w:rsidR="001B70B4" w:rsidRPr="001133C0">
        <w:rPr>
          <w:rFonts w:eastAsia="Times New Roman" w:cstheme="minorHAnsi"/>
          <w:color w:val="000000"/>
          <w:kern w:val="28"/>
          <w:sz w:val="24"/>
          <w:szCs w:val="24"/>
        </w:rPr>
        <w:t>for every 100,000 youth ag</w:t>
      </w:r>
      <w:r w:rsidR="0048394E">
        <w:rPr>
          <w:rFonts w:eastAsia="Times New Roman" w:cstheme="minorHAnsi"/>
          <w:color w:val="000000"/>
          <w:kern w:val="28"/>
          <w:sz w:val="24"/>
          <w:szCs w:val="24"/>
        </w:rPr>
        <w:t>es 10 through 17.   Arrest rate</w:t>
      </w:r>
      <w:r w:rsidR="001B70B4" w:rsidRPr="001133C0">
        <w:rPr>
          <w:rFonts w:eastAsia="Times New Roman" w:cstheme="minorHAnsi"/>
          <w:color w:val="000000"/>
          <w:kern w:val="28"/>
          <w:sz w:val="24"/>
          <w:szCs w:val="24"/>
        </w:rPr>
        <w:t xml:space="preserve"> include all arrests for violent crimes during a given year, including repeated arrests of the same individual for different offenses.  Violent offenses include homicide, forcible rape, robbery, and aggravated assault.</w:t>
      </w:r>
      <w:r w:rsidR="0048394E">
        <w:rPr>
          <w:rFonts w:eastAsia="Times New Roman" w:cstheme="minorHAnsi"/>
          <w:kern w:val="28"/>
          <w:sz w:val="24"/>
          <w:szCs w:val="24"/>
        </w:rPr>
        <w:t xml:space="preserve">  From the years 2013-2015</w:t>
      </w:r>
      <w:r w:rsidR="001B70B4" w:rsidRPr="001133C0">
        <w:rPr>
          <w:rFonts w:eastAsia="Times New Roman" w:cstheme="minorHAnsi"/>
          <w:kern w:val="28"/>
          <w:sz w:val="24"/>
          <w:szCs w:val="24"/>
        </w:rPr>
        <w:t xml:space="preserve">, Carter County consistently remained the highest county in number and rate of arrests of juveniles for violent crimes in Region 10.  </w:t>
      </w:r>
      <w:r w:rsidR="0048394E">
        <w:rPr>
          <w:rFonts w:eastAsia="Times New Roman" w:cstheme="minorHAnsi"/>
          <w:kern w:val="28"/>
          <w:sz w:val="24"/>
          <w:szCs w:val="24"/>
        </w:rPr>
        <w:t xml:space="preserve">Bryan and Murray Counties </w:t>
      </w:r>
      <w:r w:rsidR="001B70B4" w:rsidRPr="001133C0">
        <w:rPr>
          <w:rFonts w:eastAsia="Times New Roman" w:cstheme="minorHAnsi"/>
          <w:kern w:val="28"/>
          <w:sz w:val="24"/>
          <w:szCs w:val="24"/>
        </w:rPr>
        <w:t xml:space="preserve">experienced a </w:t>
      </w:r>
      <w:r w:rsidR="0048394E">
        <w:rPr>
          <w:rFonts w:eastAsia="Times New Roman" w:cstheme="minorHAnsi"/>
          <w:kern w:val="28"/>
          <w:sz w:val="24"/>
          <w:szCs w:val="24"/>
        </w:rPr>
        <w:t>dip in arrests between 2013 and 2014</w:t>
      </w:r>
      <w:r w:rsidR="001B70B4" w:rsidRPr="001133C0">
        <w:rPr>
          <w:rFonts w:eastAsia="Times New Roman" w:cstheme="minorHAnsi"/>
          <w:kern w:val="28"/>
          <w:sz w:val="24"/>
          <w:szCs w:val="24"/>
        </w:rPr>
        <w:t xml:space="preserve">.  </w:t>
      </w:r>
      <w:r w:rsidR="0048394E">
        <w:rPr>
          <w:rFonts w:eastAsia="Times New Roman" w:cstheme="minorHAnsi"/>
          <w:kern w:val="28"/>
          <w:sz w:val="24"/>
          <w:szCs w:val="24"/>
        </w:rPr>
        <w:t xml:space="preserve">Garvin has experienced an increase in juvenile arrests (126.2) in 2015 and (158.7) in 2016.  </w:t>
      </w:r>
      <w:r w:rsidR="001B70B4" w:rsidRPr="001133C0">
        <w:rPr>
          <w:rFonts w:eastAsia="Times New Roman" w:cstheme="minorHAnsi"/>
          <w:kern w:val="28"/>
          <w:sz w:val="24"/>
          <w:szCs w:val="24"/>
        </w:rPr>
        <w:t>Johnston</w:t>
      </w:r>
      <w:r w:rsidR="0048394E">
        <w:rPr>
          <w:rFonts w:eastAsia="Times New Roman" w:cstheme="minorHAnsi"/>
          <w:kern w:val="28"/>
          <w:sz w:val="24"/>
          <w:szCs w:val="24"/>
        </w:rPr>
        <w:t xml:space="preserve"> County has reported no juvenile arrests over the past seven years.</w:t>
      </w:r>
      <w:r w:rsidR="001B70B4" w:rsidRPr="001133C0">
        <w:rPr>
          <w:rFonts w:eastAsia="Times New Roman" w:cstheme="minorHAnsi"/>
          <w:kern w:val="28"/>
          <w:sz w:val="24"/>
          <w:szCs w:val="24"/>
        </w:rPr>
        <w:t xml:space="preserve"> </w:t>
      </w:r>
    </w:p>
    <w:p w:rsidR="001B70B4" w:rsidRPr="003C5252" w:rsidRDefault="001B70B4" w:rsidP="001B70B4">
      <w:pPr>
        <w:widowControl w:val="0"/>
        <w:spacing w:after="0" w:line="240" w:lineRule="auto"/>
        <w:rPr>
          <w:rFonts w:cstheme="minorHAnsi"/>
          <w:b/>
          <w:sz w:val="24"/>
          <w:szCs w:val="24"/>
        </w:rPr>
      </w:pPr>
    </w:p>
    <w:p w:rsidR="001B70B4" w:rsidRPr="003C5252" w:rsidRDefault="00F6565D" w:rsidP="001B70B4">
      <w:pPr>
        <w:widowControl w:val="0"/>
        <w:spacing w:after="0" w:line="240" w:lineRule="auto"/>
        <w:rPr>
          <w:rFonts w:cstheme="minorHAnsi"/>
          <w:b/>
          <w:sz w:val="24"/>
          <w:szCs w:val="24"/>
        </w:rPr>
      </w:pPr>
      <w:r>
        <w:rPr>
          <w:rFonts w:cstheme="minorHAnsi"/>
          <w:b/>
          <w:sz w:val="24"/>
          <w:szCs w:val="24"/>
        </w:rPr>
        <w:t>Table 12</w:t>
      </w:r>
      <w:r w:rsidR="001B70B4" w:rsidRPr="003C5252">
        <w:rPr>
          <w:rFonts w:cstheme="minorHAnsi"/>
          <w:b/>
          <w:sz w:val="24"/>
          <w:szCs w:val="24"/>
        </w:rPr>
        <w:t>:  Drug Related Car Crashes</w:t>
      </w:r>
    </w:p>
    <w:tbl>
      <w:tblPr>
        <w:tblStyle w:val="MediumShading1-Accent11"/>
        <w:tblpPr w:leftFromText="180" w:rightFromText="180" w:vertAnchor="text" w:horzAnchor="margin" w:tblpXSpec="center" w:tblpY="133"/>
        <w:tblW w:w="0" w:type="auto"/>
        <w:tblLook w:val="04A0" w:firstRow="1" w:lastRow="0" w:firstColumn="1" w:lastColumn="0" w:noHBand="0" w:noVBand="1"/>
      </w:tblPr>
      <w:tblGrid>
        <w:gridCol w:w="3745"/>
        <w:gridCol w:w="1018"/>
        <w:gridCol w:w="703"/>
        <w:gridCol w:w="608"/>
        <w:gridCol w:w="546"/>
        <w:gridCol w:w="2133"/>
      </w:tblGrid>
      <w:tr w:rsidR="001B70B4" w:rsidRPr="003C5252" w:rsidTr="00DF2B86">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753" w:type="dxa"/>
            <w:gridSpan w:val="6"/>
            <w:shd w:val="clear" w:color="auto" w:fill="000000" w:themeFill="text1"/>
            <w:noWrap/>
            <w:vAlign w:val="center"/>
            <w:hideMark/>
          </w:tcPr>
          <w:p w:rsidR="001B70B4" w:rsidRPr="003C5252" w:rsidRDefault="0048394E" w:rsidP="0048394E">
            <w:pPr>
              <w:widowControl w:val="0"/>
              <w:jc w:val="center"/>
              <w:rPr>
                <w:rFonts w:eastAsia="Times New Roman" w:cs="Calibri"/>
                <w:kern w:val="28"/>
                <w:sz w:val="32"/>
                <w:szCs w:val="32"/>
              </w:rPr>
            </w:pPr>
            <w:r>
              <w:rPr>
                <w:rFonts w:eastAsia="Times New Roman" w:cs="Calibri"/>
                <w:kern w:val="28"/>
                <w:sz w:val="32"/>
                <w:szCs w:val="32"/>
              </w:rPr>
              <w:t xml:space="preserve">Drug Related Car Crashes </w:t>
            </w:r>
            <w:r w:rsidR="00DF2B86">
              <w:rPr>
                <w:rFonts w:eastAsia="Times New Roman" w:cs="Calibri"/>
                <w:kern w:val="28"/>
                <w:sz w:val="32"/>
                <w:szCs w:val="32"/>
              </w:rPr>
              <w:t>2015-2016</w:t>
            </w:r>
          </w:p>
        </w:tc>
      </w:tr>
      <w:tr w:rsidR="001B70B4" w:rsidRPr="003C5252" w:rsidTr="00DF2B8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745" w:type="dxa"/>
            <w:noWrap/>
            <w:vAlign w:val="center"/>
            <w:hideMark/>
          </w:tcPr>
          <w:p w:rsidR="001B70B4" w:rsidRPr="003C5252" w:rsidRDefault="001B70B4" w:rsidP="001237B1">
            <w:pPr>
              <w:widowControl w:val="0"/>
              <w:rPr>
                <w:rFonts w:eastAsia="Times New Roman" w:cs="Calibri"/>
                <w:color w:val="000000"/>
                <w:kern w:val="28"/>
                <w:sz w:val="24"/>
                <w:szCs w:val="24"/>
              </w:rPr>
            </w:pPr>
          </w:p>
        </w:tc>
        <w:tc>
          <w:tcPr>
            <w:tcW w:w="1018" w:type="dxa"/>
            <w:noWrap/>
            <w:vAlign w:val="center"/>
            <w:hideMark/>
          </w:tcPr>
          <w:p w:rsidR="001B70B4" w:rsidRPr="003C5252" w:rsidRDefault="00DF2B86"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2015</w:t>
            </w:r>
          </w:p>
        </w:tc>
        <w:tc>
          <w:tcPr>
            <w:tcW w:w="703" w:type="dxa"/>
            <w:noWrap/>
            <w:vAlign w:val="center"/>
          </w:tcPr>
          <w:p w:rsidR="001B70B4" w:rsidRPr="003C5252" w:rsidRDefault="00DF2B86"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2016</w:t>
            </w:r>
          </w:p>
        </w:tc>
        <w:tc>
          <w:tcPr>
            <w:tcW w:w="608" w:type="dxa"/>
            <w:noWrap/>
            <w:vAlign w:val="center"/>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p>
        </w:tc>
        <w:tc>
          <w:tcPr>
            <w:tcW w:w="546" w:type="dxa"/>
            <w:noWrap/>
            <w:vAlign w:val="center"/>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p>
        </w:tc>
        <w:tc>
          <w:tcPr>
            <w:tcW w:w="2133" w:type="dxa"/>
            <w:noWrap/>
            <w:vAlign w:val="center"/>
          </w:tcPr>
          <w:p w:rsidR="001B70B4" w:rsidRPr="003C5252" w:rsidRDefault="001B70B4" w:rsidP="001237B1">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p>
        </w:tc>
      </w:tr>
      <w:tr w:rsidR="0048394E" w:rsidRPr="003C5252" w:rsidTr="00DF2B86">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745" w:type="dxa"/>
            <w:noWrap/>
          </w:tcPr>
          <w:p w:rsidR="0048394E" w:rsidRPr="003C5252" w:rsidRDefault="0048394E" w:rsidP="0048394E">
            <w:pPr>
              <w:widowControl w:val="0"/>
              <w:rPr>
                <w:rFonts w:eastAsia="Times New Roman" w:cs="Calibri"/>
                <w:color w:val="000000"/>
                <w:kern w:val="28"/>
                <w:sz w:val="24"/>
                <w:szCs w:val="24"/>
              </w:rPr>
            </w:pPr>
            <w:r>
              <w:rPr>
                <w:rFonts w:eastAsia="Times New Roman" w:cs="Calibri"/>
                <w:color w:val="000000"/>
                <w:kern w:val="28"/>
                <w:sz w:val="24"/>
                <w:szCs w:val="24"/>
              </w:rPr>
              <w:t>OK</w:t>
            </w:r>
          </w:p>
        </w:tc>
        <w:tc>
          <w:tcPr>
            <w:tcW w:w="1018" w:type="dxa"/>
            <w:noWrap/>
            <w:vAlign w:val="center"/>
          </w:tcPr>
          <w:p w:rsidR="0048394E" w:rsidRPr="003C5252"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506</w:t>
            </w:r>
          </w:p>
        </w:tc>
        <w:tc>
          <w:tcPr>
            <w:tcW w:w="703" w:type="dxa"/>
            <w:noWrap/>
            <w:vAlign w:val="center"/>
          </w:tcPr>
          <w:p w:rsidR="0048394E" w:rsidRPr="003C5252"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highlight w:val="yellow"/>
              </w:rPr>
            </w:pPr>
            <w:r w:rsidRPr="00D74A35">
              <w:rPr>
                <w:rFonts w:eastAsia="Times New Roman" w:cs="Calibri"/>
                <w:color w:val="000000"/>
                <w:kern w:val="28"/>
                <w:sz w:val="24"/>
                <w:szCs w:val="24"/>
              </w:rPr>
              <w:t>528</w:t>
            </w:r>
          </w:p>
        </w:tc>
        <w:tc>
          <w:tcPr>
            <w:tcW w:w="608" w:type="dxa"/>
            <w:noWrap/>
            <w:vAlign w:val="center"/>
          </w:tcPr>
          <w:p w:rsidR="0048394E" w:rsidRPr="003C5252"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highlight w:val="yellow"/>
              </w:rPr>
            </w:pPr>
          </w:p>
        </w:tc>
        <w:tc>
          <w:tcPr>
            <w:tcW w:w="546" w:type="dxa"/>
            <w:noWrap/>
            <w:vAlign w:val="center"/>
          </w:tcPr>
          <w:p w:rsidR="0048394E" w:rsidRPr="003C5252"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highlight w:val="yellow"/>
              </w:rPr>
            </w:pPr>
          </w:p>
        </w:tc>
        <w:tc>
          <w:tcPr>
            <w:tcW w:w="2133" w:type="dxa"/>
            <w:noWrap/>
            <w:vAlign w:val="center"/>
          </w:tcPr>
          <w:p w:rsidR="0048394E" w:rsidRPr="003C5252"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highlight w:val="yellow"/>
              </w:rPr>
            </w:pPr>
          </w:p>
        </w:tc>
      </w:tr>
      <w:tr w:rsidR="0048394E" w:rsidRPr="003C5252" w:rsidTr="00DF2B8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745" w:type="dxa"/>
            <w:noWrap/>
            <w:hideMark/>
          </w:tcPr>
          <w:p w:rsidR="0048394E" w:rsidRPr="003C5252" w:rsidRDefault="0048394E" w:rsidP="0048394E">
            <w:pPr>
              <w:widowControl w:val="0"/>
              <w:rPr>
                <w:rFonts w:eastAsia="Times New Roman" w:cs="Calibri"/>
                <w:color w:val="000000"/>
                <w:kern w:val="28"/>
                <w:sz w:val="24"/>
                <w:szCs w:val="24"/>
              </w:rPr>
            </w:pPr>
            <w:r w:rsidRPr="003C5252">
              <w:rPr>
                <w:rFonts w:eastAsia="Times New Roman" w:cs="Calibri"/>
                <w:color w:val="000000"/>
                <w:kern w:val="28"/>
                <w:sz w:val="24"/>
                <w:szCs w:val="24"/>
              </w:rPr>
              <w:t>Bryan</w:t>
            </w:r>
          </w:p>
        </w:tc>
        <w:tc>
          <w:tcPr>
            <w:tcW w:w="1018" w:type="dxa"/>
            <w:noWrap/>
            <w:vAlign w:val="center"/>
            <w:hideMark/>
          </w:tcPr>
          <w:p w:rsidR="0048394E" w:rsidRPr="003C5252" w:rsidRDefault="0048394E" w:rsidP="0048394E">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20</w:t>
            </w:r>
          </w:p>
        </w:tc>
        <w:tc>
          <w:tcPr>
            <w:tcW w:w="703" w:type="dxa"/>
            <w:noWrap/>
            <w:vAlign w:val="center"/>
          </w:tcPr>
          <w:p w:rsidR="0048394E" w:rsidRPr="003C5252" w:rsidRDefault="0048394E" w:rsidP="0048394E">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highlight w:val="yellow"/>
              </w:rPr>
            </w:pPr>
            <w:r w:rsidRPr="00DF2B86">
              <w:rPr>
                <w:rFonts w:eastAsia="Times New Roman" w:cs="Calibri"/>
                <w:color w:val="000000"/>
                <w:kern w:val="28"/>
                <w:sz w:val="24"/>
                <w:szCs w:val="24"/>
              </w:rPr>
              <w:t>14</w:t>
            </w:r>
          </w:p>
        </w:tc>
        <w:tc>
          <w:tcPr>
            <w:tcW w:w="608" w:type="dxa"/>
            <w:noWrap/>
            <w:vAlign w:val="center"/>
          </w:tcPr>
          <w:p w:rsidR="0048394E" w:rsidRPr="003C5252" w:rsidRDefault="0048394E" w:rsidP="0048394E">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highlight w:val="yellow"/>
              </w:rPr>
            </w:pPr>
          </w:p>
        </w:tc>
        <w:tc>
          <w:tcPr>
            <w:tcW w:w="546" w:type="dxa"/>
            <w:noWrap/>
            <w:vAlign w:val="center"/>
          </w:tcPr>
          <w:p w:rsidR="0048394E" w:rsidRPr="003C5252" w:rsidRDefault="0048394E" w:rsidP="0048394E">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highlight w:val="yellow"/>
              </w:rPr>
            </w:pPr>
          </w:p>
        </w:tc>
        <w:tc>
          <w:tcPr>
            <w:tcW w:w="2133" w:type="dxa"/>
            <w:noWrap/>
            <w:vAlign w:val="center"/>
          </w:tcPr>
          <w:p w:rsidR="0048394E" w:rsidRPr="003C5252" w:rsidRDefault="0048394E" w:rsidP="0048394E">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highlight w:val="yellow"/>
              </w:rPr>
            </w:pPr>
          </w:p>
        </w:tc>
      </w:tr>
      <w:tr w:rsidR="0048394E" w:rsidRPr="003C5252" w:rsidTr="00DF2B86">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745" w:type="dxa"/>
            <w:noWrap/>
            <w:hideMark/>
          </w:tcPr>
          <w:p w:rsidR="0048394E" w:rsidRPr="003C5252" w:rsidRDefault="0048394E" w:rsidP="0048394E">
            <w:pPr>
              <w:widowControl w:val="0"/>
              <w:rPr>
                <w:rFonts w:eastAsia="Times New Roman" w:cs="Calibri"/>
                <w:color w:val="000000"/>
                <w:kern w:val="28"/>
                <w:sz w:val="24"/>
                <w:szCs w:val="24"/>
              </w:rPr>
            </w:pPr>
            <w:r w:rsidRPr="003C5252">
              <w:rPr>
                <w:rFonts w:eastAsia="Times New Roman" w:cs="Calibri"/>
                <w:color w:val="000000"/>
                <w:kern w:val="28"/>
                <w:sz w:val="24"/>
                <w:szCs w:val="24"/>
              </w:rPr>
              <w:t>Carter</w:t>
            </w:r>
          </w:p>
        </w:tc>
        <w:tc>
          <w:tcPr>
            <w:tcW w:w="1018" w:type="dxa"/>
            <w:noWrap/>
            <w:vAlign w:val="center"/>
            <w:hideMark/>
          </w:tcPr>
          <w:p w:rsidR="0048394E" w:rsidRPr="003C5252"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15</w:t>
            </w:r>
          </w:p>
        </w:tc>
        <w:tc>
          <w:tcPr>
            <w:tcW w:w="703" w:type="dxa"/>
            <w:noWrap/>
            <w:vAlign w:val="center"/>
          </w:tcPr>
          <w:p w:rsidR="0048394E" w:rsidRPr="00DF2B86"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sidRPr="00DF2B86">
              <w:rPr>
                <w:rFonts w:eastAsia="Times New Roman" w:cs="Calibri"/>
                <w:color w:val="000000"/>
                <w:kern w:val="28"/>
                <w:sz w:val="24"/>
                <w:szCs w:val="24"/>
              </w:rPr>
              <w:t>14</w:t>
            </w:r>
          </w:p>
        </w:tc>
        <w:tc>
          <w:tcPr>
            <w:tcW w:w="608" w:type="dxa"/>
            <w:noWrap/>
            <w:vAlign w:val="center"/>
          </w:tcPr>
          <w:p w:rsidR="0048394E" w:rsidRPr="003C5252"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highlight w:val="yellow"/>
              </w:rPr>
            </w:pPr>
          </w:p>
        </w:tc>
        <w:tc>
          <w:tcPr>
            <w:tcW w:w="546" w:type="dxa"/>
            <w:noWrap/>
            <w:vAlign w:val="center"/>
          </w:tcPr>
          <w:p w:rsidR="0048394E" w:rsidRPr="003C5252"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highlight w:val="yellow"/>
              </w:rPr>
            </w:pPr>
          </w:p>
        </w:tc>
        <w:tc>
          <w:tcPr>
            <w:tcW w:w="2133" w:type="dxa"/>
            <w:noWrap/>
            <w:vAlign w:val="center"/>
          </w:tcPr>
          <w:p w:rsidR="0048394E" w:rsidRPr="003C5252"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highlight w:val="yellow"/>
              </w:rPr>
            </w:pPr>
          </w:p>
        </w:tc>
      </w:tr>
      <w:tr w:rsidR="0048394E" w:rsidRPr="003C5252" w:rsidTr="00DF2B8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745" w:type="dxa"/>
            <w:noWrap/>
            <w:hideMark/>
          </w:tcPr>
          <w:p w:rsidR="0048394E" w:rsidRPr="003C5252" w:rsidRDefault="0048394E" w:rsidP="0048394E">
            <w:pPr>
              <w:widowControl w:val="0"/>
              <w:rPr>
                <w:rFonts w:eastAsia="Times New Roman" w:cs="Calibri"/>
                <w:color w:val="000000"/>
                <w:kern w:val="28"/>
                <w:sz w:val="24"/>
                <w:szCs w:val="24"/>
              </w:rPr>
            </w:pPr>
            <w:r w:rsidRPr="003C5252">
              <w:rPr>
                <w:rFonts w:eastAsia="Times New Roman" w:cs="Calibri"/>
                <w:color w:val="000000"/>
                <w:kern w:val="28"/>
                <w:sz w:val="24"/>
                <w:szCs w:val="24"/>
              </w:rPr>
              <w:t>Garvin</w:t>
            </w:r>
          </w:p>
        </w:tc>
        <w:tc>
          <w:tcPr>
            <w:tcW w:w="1018" w:type="dxa"/>
            <w:noWrap/>
            <w:vAlign w:val="center"/>
            <w:hideMark/>
          </w:tcPr>
          <w:p w:rsidR="0048394E" w:rsidRPr="003C5252" w:rsidRDefault="0048394E" w:rsidP="0048394E">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sidRPr="003C5252">
              <w:rPr>
                <w:rFonts w:eastAsia="Times New Roman" w:cs="Calibri"/>
                <w:color w:val="000000"/>
                <w:kern w:val="28"/>
                <w:sz w:val="24"/>
                <w:szCs w:val="24"/>
              </w:rPr>
              <w:t>9</w:t>
            </w:r>
          </w:p>
        </w:tc>
        <w:tc>
          <w:tcPr>
            <w:tcW w:w="703" w:type="dxa"/>
            <w:noWrap/>
            <w:vAlign w:val="center"/>
          </w:tcPr>
          <w:p w:rsidR="0048394E" w:rsidRPr="00DF2B86" w:rsidRDefault="0048394E" w:rsidP="0048394E">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sidRPr="00DF2B86">
              <w:rPr>
                <w:rFonts w:eastAsia="Times New Roman" w:cs="Calibri"/>
                <w:color w:val="000000"/>
                <w:kern w:val="28"/>
                <w:sz w:val="24"/>
                <w:szCs w:val="24"/>
              </w:rPr>
              <w:t>9</w:t>
            </w:r>
          </w:p>
        </w:tc>
        <w:tc>
          <w:tcPr>
            <w:tcW w:w="608" w:type="dxa"/>
            <w:noWrap/>
            <w:vAlign w:val="center"/>
          </w:tcPr>
          <w:p w:rsidR="0048394E" w:rsidRPr="003C5252" w:rsidRDefault="0048394E" w:rsidP="0048394E">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highlight w:val="yellow"/>
              </w:rPr>
            </w:pPr>
          </w:p>
        </w:tc>
        <w:tc>
          <w:tcPr>
            <w:tcW w:w="546" w:type="dxa"/>
            <w:noWrap/>
            <w:vAlign w:val="center"/>
          </w:tcPr>
          <w:p w:rsidR="0048394E" w:rsidRPr="003C5252" w:rsidRDefault="0048394E" w:rsidP="0048394E">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highlight w:val="yellow"/>
              </w:rPr>
            </w:pPr>
          </w:p>
        </w:tc>
        <w:tc>
          <w:tcPr>
            <w:tcW w:w="2133" w:type="dxa"/>
            <w:noWrap/>
            <w:vAlign w:val="center"/>
          </w:tcPr>
          <w:p w:rsidR="0048394E" w:rsidRPr="003C5252" w:rsidRDefault="0048394E" w:rsidP="0048394E">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highlight w:val="yellow"/>
              </w:rPr>
            </w:pPr>
          </w:p>
        </w:tc>
      </w:tr>
      <w:tr w:rsidR="0048394E" w:rsidRPr="003C5252" w:rsidTr="00DF2B86">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745" w:type="dxa"/>
            <w:noWrap/>
            <w:hideMark/>
          </w:tcPr>
          <w:p w:rsidR="0048394E" w:rsidRPr="003C5252" w:rsidRDefault="0048394E" w:rsidP="0048394E">
            <w:pPr>
              <w:widowControl w:val="0"/>
              <w:rPr>
                <w:rFonts w:eastAsia="Times New Roman" w:cs="Calibri"/>
                <w:color w:val="000000"/>
                <w:kern w:val="28"/>
                <w:sz w:val="24"/>
                <w:szCs w:val="24"/>
              </w:rPr>
            </w:pPr>
            <w:r w:rsidRPr="003C5252">
              <w:rPr>
                <w:rFonts w:eastAsia="Times New Roman" w:cs="Calibri"/>
                <w:color w:val="000000"/>
                <w:kern w:val="28"/>
                <w:sz w:val="24"/>
                <w:szCs w:val="24"/>
              </w:rPr>
              <w:t>Johnston</w:t>
            </w:r>
          </w:p>
        </w:tc>
        <w:tc>
          <w:tcPr>
            <w:tcW w:w="1018" w:type="dxa"/>
            <w:noWrap/>
            <w:vAlign w:val="center"/>
            <w:hideMark/>
          </w:tcPr>
          <w:p w:rsidR="0048394E" w:rsidRPr="003C5252"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8</w:t>
            </w:r>
          </w:p>
        </w:tc>
        <w:tc>
          <w:tcPr>
            <w:tcW w:w="703" w:type="dxa"/>
            <w:noWrap/>
            <w:vAlign w:val="center"/>
          </w:tcPr>
          <w:p w:rsidR="0048394E" w:rsidRPr="00DF2B86"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sidRPr="00DF2B86">
              <w:rPr>
                <w:rFonts w:eastAsia="Times New Roman" w:cs="Calibri"/>
                <w:color w:val="000000"/>
                <w:kern w:val="28"/>
                <w:sz w:val="24"/>
                <w:szCs w:val="24"/>
              </w:rPr>
              <w:t>7</w:t>
            </w:r>
          </w:p>
        </w:tc>
        <w:tc>
          <w:tcPr>
            <w:tcW w:w="608" w:type="dxa"/>
            <w:noWrap/>
            <w:vAlign w:val="center"/>
          </w:tcPr>
          <w:p w:rsidR="0048394E" w:rsidRPr="003C5252"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highlight w:val="yellow"/>
              </w:rPr>
            </w:pPr>
          </w:p>
        </w:tc>
        <w:tc>
          <w:tcPr>
            <w:tcW w:w="546" w:type="dxa"/>
            <w:noWrap/>
            <w:vAlign w:val="center"/>
          </w:tcPr>
          <w:p w:rsidR="0048394E" w:rsidRPr="003C5252"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highlight w:val="yellow"/>
              </w:rPr>
            </w:pPr>
          </w:p>
        </w:tc>
        <w:tc>
          <w:tcPr>
            <w:tcW w:w="2133" w:type="dxa"/>
            <w:noWrap/>
            <w:vAlign w:val="center"/>
          </w:tcPr>
          <w:p w:rsidR="0048394E" w:rsidRPr="003C5252"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highlight w:val="yellow"/>
              </w:rPr>
            </w:pPr>
          </w:p>
        </w:tc>
      </w:tr>
      <w:tr w:rsidR="0048394E" w:rsidRPr="003C5252" w:rsidTr="00DF2B8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745" w:type="dxa"/>
            <w:noWrap/>
            <w:hideMark/>
          </w:tcPr>
          <w:p w:rsidR="0048394E" w:rsidRPr="003C5252" w:rsidRDefault="0048394E" w:rsidP="0048394E">
            <w:pPr>
              <w:widowControl w:val="0"/>
              <w:rPr>
                <w:rFonts w:eastAsia="Times New Roman" w:cs="Calibri"/>
                <w:color w:val="000000"/>
                <w:kern w:val="28"/>
                <w:sz w:val="24"/>
                <w:szCs w:val="24"/>
              </w:rPr>
            </w:pPr>
            <w:r w:rsidRPr="003C5252">
              <w:rPr>
                <w:rFonts w:eastAsia="Times New Roman" w:cs="Calibri"/>
                <w:color w:val="000000"/>
                <w:kern w:val="28"/>
                <w:sz w:val="24"/>
                <w:szCs w:val="24"/>
              </w:rPr>
              <w:t>Love</w:t>
            </w:r>
          </w:p>
        </w:tc>
        <w:tc>
          <w:tcPr>
            <w:tcW w:w="1018" w:type="dxa"/>
            <w:noWrap/>
            <w:vAlign w:val="center"/>
            <w:hideMark/>
          </w:tcPr>
          <w:p w:rsidR="0048394E" w:rsidRPr="003C5252" w:rsidRDefault="0048394E" w:rsidP="0048394E">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3</w:t>
            </w:r>
          </w:p>
        </w:tc>
        <w:tc>
          <w:tcPr>
            <w:tcW w:w="703" w:type="dxa"/>
            <w:noWrap/>
            <w:vAlign w:val="center"/>
          </w:tcPr>
          <w:p w:rsidR="0048394E" w:rsidRPr="00DF2B86" w:rsidRDefault="0048394E" w:rsidP="0048394E">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sidRPr="00DF2B86">
              <w:rPr>
                <w:rFonts w:eastAsia="Times New Roman" w:cs="Calibri"/>
                <w:color w:val="000000"/>
                <w:kern w:val="28"/>
                <w:sz w:val="24"/>
                <w:szCs w:val="24"/>
              </w:rPr>
              <w:t>3</w:t>
            </w:r>
          </w:p>
        </w:tc>
        <w:tc>
          <w:tcPr>
            <w:tcW w:w="608" w:type="dxa"/>
            <w:noWrap/>
            <w:vAlign w:val="center"/>
          </w:tcPr>
          <w:p w:rsidR="0048394E" w:rsidRPr="003C5252" w:rsidRDefault="0048394E" w:rsidP="0048394E">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highlight w:val="yellow"/>
              </w:rPr>
            </w:pPr>
          </w:p>
        </w:tc>
        <w:tc>
          <w:tcPr>
            <w:tcW w:w="546" w:type="dxa"/>
            <w:noWrap/>
            <w:vAlign w:val="center"/>
          </w:tcPr>
          <w:p w:rsidR="0048394E" w:rsidRPr="003C5252" w:rsidRDefault="0048394E" w:rsidP="0048394E">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highlight w:val="yellow"/>
              </w:rPr>
            </w:pPr>
          </w:p>
        </w:tc>
        <w:tc>
          <w:tcPr>
            <w:tcW w:w="2133" w:type="dxa"/>
            <w:noWrap/>
            <w:vAlign w:val="center"/>
          </w:tcPr>
          <w:p w:rsidR="0048394E" w:rsidRPr="003C5252" w:rsidRDefault="0048394E" w:rsidP="0048394E">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highlight w:val="yellow"/>
              </w:rPr>
            </w:pPr>
          </w:p>
        </w:tc>
      </w:tr>
      <w:tr w:rsidR="0048394E" w:rsidRPr="003C5252" w:rsidTr="00DF2B86">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745" w:type="dxa"/>
            <w:noWrap/>
          </w:tcPr>
          <w:p w:rsidR="0048394E" w:rsidRPr="003C5252" w:rsidRDefault="0048394E" w:rsidP="0048394E">
            <w:pPr>
              <w:widowControl w:val="0"/>
              <w:rPr>
                <w:rFonts w:eastAsia="Times New Roman" w:cs="Calibri"/>
                <w:color w:val="000000"/>
                <w:kern w:val="28"/>
                <w:sz w:val="24"/>
                <w:szCs w:val="24"/>
              </w:rPr>
            </w:pPr>
            <w:r w:rsidRPr="003C5252">
              <w:rPr>
                <w:rFonts w:eastAsia="Times New Roman" w:cs="Calibri"/>
                <w:color w:val="000000"/>
                <w:kern w:val="28"/>
                <w:sz w:val="24"/>
                <w:szCs w:val="24"/>
              </w:rPr>
              <w:t>Marshall</w:t>
            </w:r>
          </w:p>
        </w:tc>
        <w:tc>
          <w:tcPr>
            <w:tcW w:w="1018" w:type="dxa"/>
            <w:noWrap/>
            <w:vAlign w:val="center"/>
          </w:tcPr>
          <w:p w:rsidR="0048394E" w:rsidRPr="003C5252"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6</w:t>
            </w:r>
          </w:p>
        </w:tc>
        <w:tc>
          <w:tcPr>
            <w:tcW w:w="703" w:type="dxa"/>
            <w:noWrap/>
            <w:vAlign w:val="center"/>
          </w:tcPr>
          <w:p w:rsidR="0048394E" w:rsidRPr="00DF2B86"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sidRPr="00DF2B86">
              <w:rPr>
                <w:rFonts w:eastAsia="Times New Roman" w:cs="Calibri"/>
                <w:color w:val="000000"/>
                <w:kern w:val="28"/>
                <w:sz w:val="24"/>
                <w:szCs w:val="24"/>
              </w:rPr>
              <w:t>9</w:t>
            </w:r>
          </w:p>
        </w:tc>
        <w:tc>
          <w:tcPr>
            <w:tcW w:w="608" w:type="dxa"/>
            <w:noWrap/>
            <w:vAlign w:val="center"/>
          </w:tcPr>
          <w:p w:rsidR="0048394E" w:rsidRPr="003C5252"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highlight w:val="yellow"/>
              </w:rPr>
            </w:pPr>
          </w:p>
        </w:tc>
        <w:tc>
          <w:tcPr>
            <w:tcW w:w="546" w:type="dxa"/>
            <w:noWrap/>
            <w:vAlign w:val="center"/>
          </w:tcPr>
          <w:p w:rsidR="0048394E" w:rsidRPr="003C5252"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highlight w:val="yellow"/>
              </w:rPr>
            </w:pPr>
          </w:p>
        </w:tc>
        <w:tc>
          <w:tcPr>
            <w:tcW w:w="2133" w:type="dxa"/>
            <w:noWrap/>
            <w:vAlign w:val="center"/>
          </w:tcPr>
          <w:p w:rsidR="0048394E" w:rsidRPr="003C5252"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highlight w:val="yellow"/>
              </w:rPr>
            </w:pPr>
          </w:p>
        </w:tc>
      </w:tr>
      <w:tr w:rsidR="0048394E" w:rsidRPr="003C5252" w:rsidTr="00DF2B8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745" w:type="dxa"/>
            <w:noWrap/>
          </w:tcPr>
          <w:p w:rsidR="0048394E" w:rsidRPr="003C5252" w:rsidRDefault="0048394E" w:rsidP="0048394E">
            <w:pPr>
              <w:widowControl w:val="0"/>
              <w:rPr>
                <w:rFonts w:eastAsia="Times New Roman" w:cs="Calibri"/>
                <w:color w:val="000000"/>
                <w:kern w:val="28"/>
                <w:sz w:val="24"/>
                <w:szCs w:val="24"/>
              </w:rPr>
            </w:pPr>
            <w:r w:rsidRPr="003C5252">
              <w:rPr>
                <w:rFonts w:eastAsia="Times New Roman" w:cs="Calibri"/>
                <w:color w:val="000000"/>
                <w:kern w:val="28"/>
                <w:sz w:val="24"/>
                <w:szCs w:val="24"/>
              </w:rPr>
              <w:t>Murray</w:t>
            </w:r>
          </w:p>
        </w:tc>
        <w:tc>
          <w:tcPr>
            <w:tcW w:w="1018" w:type="dxa"/>
            <w:noWrap/>
            <w:vAlign w:val="center"/>
          </w:tcPr>
          <w:p w:rsidR="0048394E" w:rsidRPr="003C5252" w:rsidRDefault="0048394E" w:rsidP="0048394E">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0</w:t>
            </w:r>
          </w:p>
        </w:tc>
        <w:tc>
          <w:tcPr>
            <w:tcW w:w="703" w:type="dxa"/>
            <w:noWrap/>
            <w:vAlign w:val="center"/>
          </w:tcPr>
          <w:p w:rsidR="0048394E" w:rsidRPr="00DF2B86" w:rsidRDefault="0048394E" w:rsidP="0048394E">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rPr>
            </w:pPr>
            <w:r w:rsidRPr="00DF2B86">
              <w:rPr>
                <w:rFonts w:eastAsia="Times New Roman" w:cs="Calibri"/>
                <w:color w:val="000000"/>
                <w:kern w:val="28"/>
                <w:sz w:val="24"/>
                <w:szCs w:val="24"/>
              </w:rPr>
              <w:t>7</w:t>
            </w:r>
          </w:p>
        </w:tc>
        <w:tc>
          <w:tcPr>
            <w:tcW w:w="608" w:type="dxa"/>
            <w:noWrap/>
            <w:vAlign w:val="center"/>
          </w:tcPr>
          <w:p w:rsidR="0048394E" w:rsidRPr="003C5252" w:rsidRDefault="0048394E" w:rsidP="0048394E">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highlight w:val="yellow"/>
              </w:rPr>
            </w:pPr>
          </w:p>
        </w:tc>
        <w:tc>
          <w:tcPr>
            <w:tcW w:w="546" w:type="dxa"/>
            <w:noWrap/>
            <w:vAlign w:val="center"/>
          </w:tcPr>
          <w:p w:rsidR="0048394E" w:rsidRPr="003C5252" w:rsidRDefault="0048394E" w:rsidP="0048394E">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highlight w:val="yellow"/>
              </w:rPr>
            </w:pPr>
          </w:p>
        </w:tc>
        <w:tc>
          <w:tcPr>
            <w:tcW w:w="2133" w:type="dxa"/>
            <w:noWrap/>
            <w:vAlign w:val="center"/>
          </w:tcPr>
          <w:p w:rsidR="0048394E" w:rsidRPr="003C5252" w:rsidRDefault="0048394E" w:rsidP="0048394E">
            <w:pPr>
              <w:widowControl w:val="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kern w:val="28"/>
                <w:sz w:val="24"/>
                <w:szCs w:val="24"/>
                <w:highlight w:val="yellow"/>
              </w:rPr>
            </w:pPr>
          </w:p>
        </w:tc>
      </w:tr>
      <w:tr w:rsidR="0048394E" w:rsidRPr="003C5252" w:rsidTr="00DF2B86">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745" w:type="dxa"/>
            <w:noWrap/>
          </w:tcPr>
          <w:p w:rsidR="0048394E" w:rsidRPr="003C5252" w:rsidRDefault="0048394E" w:rsidP="0048394E">
            <w:pPr>
              <w:widowControl w:val="0"/>
              <w:rPr>
                <w:rFonts w:eastAsia="Times New Roman" w:cs="Calibri"/>
                <w:color w:val="000000"/>
                <w:kern w:val="28"/>
                <w:sz w:val="24"/>
                <w:szCs w:val="24"/>
              </w:rPr>
            </w:pPr>
            <w:r w:rsidRPr="003C5252">
              <w:rPr>
                <w:rFonts w:eastAsia="Times New Roman" w:cs="Calibri"/>
                <w:color w:val="000000"/>
                <w:kern w:val="28"/>
                <w:sz w:val="24"/>
                <w:szCs w:val="24"/>
              </w:rPr>
              <w:t>Pontotoc</w:t>
            </w:r>
          </w:p>
        </w:tc>
        <w:tc>
          <w:tcPr>
            <w:tcW w:w="1018" w:type="dxa"/>
            <w:noWrap/>
            <w:vAlign w:val="center"/>
          </w:tcPr>
          <w:p w:rsidR="0048394E" w:rsidRPr="003C5252"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Pr>
                <w:rFonts w:eastAsia="Times New Roman" w:cs="Calibri"/>
                <w:color w:val="000000"/>
                <w:kern w:val="28"/>
                <w:sz w:val="24"/>
                <w:szCs w:val="24"/>
              </w:rPr>
              <w:t>11</w:t>
            </w:r>
          </w:p>
        </w:tc>
        <w:tc>
          <w:tcPr>
            <w:tcW w:w="703" w:type="dxa"/>
            <w:noWrap/>
            <w:vAlign w:val="center"/>
          </w:tcPr>
          <w:p w:rsidR="0048394E" w:rsidRPr="00DF2B86"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rPr>
            </w:pPr>
            <w:r w:rsidRPr="00DF2B86">
              <w:rPr>
                <w:rFonts w:eastAsia="Times New Roman" w:cs="Calibri"/>
                <w:color w:val="000000"/>
                <w:kern w:val="28"/>
                <w:sz w:val="24"/>
                <w:szCs w:val="24"/>
              </w:rPr>
              <w:t>9</w:t>
            </w:r>
          </w:p>
        </w:tc>
        <w:tc>
          <w:tcPr>
            <w:tcW w:w="608" w:type="dxa"/>
            <w:noWrap/>
            <w:vAlign w:val="center"/>
          </w:tcPr>
          <w:p w:rsidR="0048394E" w:rsidRPr="003C5252"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highlight w:val="yellow"/>
              </w:rPr>
            </w:pPr>
          </w:p>
        </w:tc>
        <w:tc>
          <w:tcPr>
            <w:tcW w:w="546" w:type="dxa"/>
            <w:noWrap/>
            <w:vAlign w:val="center"/>
          </w:tcPr>
          <w:p w:rsidR="0048394E" w:rsidRPr="003C5252"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highlight w:val="yellow"/>
              </w:rPr>
            </w:pPr>
          </w:p>
        </w:tc>
        <w:tc>
          <w:tcPr>
            <w:tcW w:w="2133" w:type="dxa"/>
            <w:noWrap/>
            <w:vAlign w:val="center"/>
          </w:tcPr>
          <w:p w:rsidR="0048394E" w:rsidRPr="003C5252" w:rsidRDefault="0048394E" w:rsidP="0048394E">
            <w:pPr>
              <w:widowControl w:val="0"/>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kern w:val="28"/>
                <w:sz w:val="24"/>
                <w:szCs w:val="24"/>
                <w:highlight w:val="yellow"/>
              </w:rPr>
            </w:pPr>
          </w:p>
        </w:tc>
      </w:tr>
      <w:tr w:rsidR="0048394E" w:rsidRPr="003C5252" w:rsidTr="00DF2B8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753" w:type="dxa"/>
            <w:gridSpan w:val="6"/>
            <w:noWrap/>
            <w:vAlign w:val="center"/>
          </w:tcPr>
          <w:p w:rsidR="0048394E" w:rsidRPr="003C5252" w:rsidRDefault="0048394E" w:rsidP="0048394E">
            <w:pPr>
              <w:widowControl w:val="0"/>
              <w:jc w:val="center"/>
              <w:rPr>
                <w:rFonts w:eastAsia="Times New Roman" w:cs="Calibri"/>
                <w:color w:val="000000"/>
                <w:kern w:val="28"/>
                <w:sz w:val="18"/>
                <w:szCs w:val="18"/>
              </w:rPr>
            </w:pPr>
            <w:r w:rsidRPr="003C5252">
              <w:rPr>
                <w:rFonts w:eastAsia="Times New Roman" w:cs="Calibri"/>
                <w:color w:val="000000"/>
                <w:kern w:val="28"/>
                <w:sz w:val="18"/>
                <w:szCs w:val="18"/>
              </w:rPr>
              <w:t>Source:  Oklahoma Department of Highway Safety &amp; Department of Public Safety Crash Report</w:t>
            </w:r>
          </w:p>
        </w:tc>
      </w:tr>
    </w:tbl>
    <w:p w:rsidR="00FC7ABD" w:rsidRDefault="00FC7ABD" w:rsidP="001B70B4">
      <w:pPr>
        <w:widowControl w:val="0"/>
        <w:rPr>
          <w:rFonts w:ascii="Calibri" w:hAnsi="Calibri" w:cs="Calibri"/>
          <w:sz w:val="24"/>
          <w:szCs w:val="24"/>
        </w:rPr>
      </w:pPr>
    </w:p>
    <w:p w:rsidR="001B70B4" w:rsidRPr="0048394E" w:rsidRDefault="0048394E" w:rsidP="001B70B4">
      <w:pPr>
        <w:widowControl w:val="0"/>
        <w:rPr>
          <w:rFonts w:ascii="Calibri" w:hAnsi="Calibri" w:cs="Calibri"/>
          <w:sz w:val="24"/>
          <w:szCs w:val="24"/>
        </w:rPr>
      </w:pPr>
      <w:r w:rsidRPr="0048394E">
        <w:rPr>
          <w:rFonts w:ascii="Calibri" w:hAnsi="Calibri" w:cs="Calibri"/>
          <w:sz w:val="24"/>
          <w:szCs w:val="24"/>
        </w:rPr>
        <w:lastRenderedPageBreak/>
        <w:t>Throughout 2015-2016, Bryan and Carter Counties have had the most drug related car crashes in Region 10.</w:t>
      </w:r>
    </w:p>
    <w:p w:rsidR="001B70B4" w:rsidRPr="001133C0" w:rsidRDefault="001B70B4" w:rsidP="001B70B4">
      <w:pPr>
        <w:widowControl w:val="0"/>
        <w:rPr>
          <w:rFonts w:cstheme="minorHAnsi"/>
          <w:b/>
          <w:sz w:val="24"/>
          <w:szCs w:val="24"/>
        </w:rPr>
      </w:pPr>
      <w:r w:rsidRPr="001133C0">
        <w:rPr>
          <w:rFonts w:cstheme="minorHAnsi"/>
          <w:b/>
          <w:sz w:val="24"/>
          <w:szCs w:val="24"/>
        </w:rPr>
        <w:t>Data Gaps and Limitations:</w:t>
      </w:r>
    </w:p>
    <w:p w:rsidR="001B70B4" w:rsidRPr="001133C0" w:rsidRDefault="001B70B4" w:rsidP="0048394E">
      <w:pPr>
        <w:widowControl w:val="0"/>
        <w:jc w:val="both"/>
        <w:rPr>
          <w:rFonts w:cstheme="minorHAnsi"/>
          <w:sz w:val="24"/>
          <w:szCs w:val="24"/>
        </w:rPr>
      </w:pPr>
      <w:r w:rsidRPr="001133C0">
        <w:rPr>
          <w:rFonts w:cstheme="minorHAnsi"/>
          <w:sz w:val="24"/>
          <w:szCs w:val="24"/>
        </w:rPr>
        <w:t>The REOW identified data gaps and determined that underage youth and alcohol consumption could be improved by:</w:t>
      </w:r>
      <w:bookmarkStart w:id="0" w:name="_GoBack"/>
      <w:bookmarkEnd w:id="0"/>
    </w:p>
    <w:p w:rsidR="001B70B4" w:rsidRPr="001133C0" w:rsidRDefault="001B70B4" w:rsidP="0048394E">
      <w:pPr>
        <w:widowControl w:val="0"/>
        <w:contextualSpacing/>
        <w:jc w:val="both"/>
        <w:rPr>
          <w:rFonts w:cstheme="minorHAnsi"/>
          <w:sz w:val="24"/>
          <w:szCs w:val="24"/>
        </w:rPr>
      </w:pPr>
      <w:proofErr w:type="gramStart"/>
      <w:r w:rsidRPr="001133C0">
        <w:rPr>
          <w:rFonts w:cstheme="minorHAnsi"/>
          <w:sz w:val="24"/>
          <w:szCs w:val="24"/>
        </w:rPr>
        <w:t>Increased OPNA participation in all 8 counties.</w:t>
      </w:r>
      <w:proofErr w:type="gramEnd"/>
      <w:r w:rsidRPr="001133C0">
        <w:rPr>
          <w:rFonts w:cstheme="minorHAnsi"/>
          <w:sz w:val="24"/>
          <w:szCs w:val="24"/>
        </w:rPr>
        <w:t xml:space="preserve"> OPNA participation is an important aspect to not only the RPC’s, but to multiple businesses and organizations throughout the region. WMPN will help focus on improving the OPNA participation rates in the upcoming testing years, with the goal of 70%. </w:t>
      </w:r>
    </w:p>
    <w:p w:rsidR="001B70B4" w:rsidRPr="001133C0" w:rsidRDefault="001B70B4" w:rsidP="0048394E">
      <w:pPr>
        <w:widowControl w:val="0"/>
        <w:jc w:val="both"/>
        <w:rPr>
          <w:rFonts w:cstheme="minorHAnsi"/>
          <w:color w:val="000000" w:themeColor="text1"/>
        </w:rPr>
      </w:pPr>
    </w:p>
    <w:p w:rsidR="001B70B4" w:rsidRPr="0048394E" w:rsidRDefault="001B70B4" w:rsidP="0048394E">
      <w:pPr>
        <w:widowControl w:val="0"/>
        <w:jc w:val="both"/>
        <w:rPr>
          <w:rFonts w:cstheme="minorHAnsi"/>
        </w:rPr>
      </w:pPr>
      <w:r w:rsidRPr="0048394E">
        <w:rPr>
          <w:rFonts w:cstheme="minorHAnsi"/>
        </w:rPr>
        <w:t xml:space="preserve">Local Law Enforcement data was difficult to obtain.  WMPN and coalition members will continue to build capacity with local law enforcement agencies so that a mutual trust and understanding can be developed. Through this understanding, law enforcement will be more willing to provide the local data for the betterment of the community. </w:t>
      </w:r>
    </w:p>
    <w:p w:rsidR="001B70B4" w:rsidRPr="0048394E" w:rsidRDefault="001B70B4" w:rsidP="0048394E">
      <w:pPr>
        <w:widowControl w:val="0"/>
        <w:jc w:val="both"/>
        <w:rPr>
          <w:rFonts w:cstheme="minorHAnsi"/>
          <w:sz w:val="24"/>
          <w:szCs w:val="24"/>
        </w:rPr>
      </w:pPr>
      <w:proofErr w:type="gramStart"/>
      <w:r w:rsidRPr="0048394E">
        <w:rPr>
          <w:rFonts w:cstheme="minorHAnsi"/>
          <w:sz w:val="24"/>
          <w:szCs w:val="24"/>
        </w:rPr>
        <w:t>Getting more people at the table in regards to the subcommittee and REOW.</w:t>
      </w:r>
      <w:proofErr w:type="gramEnd"/>
      <w:r w:rsidRPr="0048394E">
        <w:rPr>
          <w:rFonts w:cstheme="minorHAnsi"/>
          <w:sz w:val="24"/>
          <w:szCs w:val="24"/>
        </w:rPr>
        <w:t xml:space="preserve"> We have discussed strategies to increase this, and are continuing to develop ideas to help build the capacity of the coalition. Once we have more stakeholders at the table we can address more of the issues at hand, getting more accomplished. </w:t>
      </w:r>
    </w:p>
    <w:p w:rsidR="001B70B4" w:rsidRPr="001133C0" w:rsidRDefault="001B70B4" w:rsidP="001B70B4">
      <w:pPr>
        <w:jc w:val="center"/>
        <w:rPr>
          <w:rFonts w:cstheme="minorHAnsi"/>
          <w:b/>
          <w:sz w:val="28"/>
          <w:szCs w:val="28"/>
          <w:u w:val="single"/>
        </w:rPr>
      </w:pPr>
    </w:p>
    <w:p w:rsidR="001B70B4" w:rsidRPr="001133C0" w:rsidRDefault="001B70B4" w:rsidP="001B70B4">
      <w:pPr>
        <w:jc w:val="center"/>
        <w:rPr>
          <w:rFonts w:cstheme="minorHAnsi"/>
          <w:b/>
          <w:sz w:val="28"/>
          <w:szCs w:val="28"/>
          <w:u w:val="single"/>
        </w:rPr>
      </w:pPr>
      <w:r w:rsidRPr="001133C0">
        <w:rPr>
          <w:rFonts w:cstheme="minorHAnsi"/>
          <w:b/>
          <w:sz w:val="28"/>
          <w:szCs w:val="28"/>
          <w:u w:val="single"/>
        </w:rPr>
        <w:t>Summary of Findings</w:t>
      </w:r>
    </w:p>
    <w:p w:rsidR="001B70B4" w:rsidRPr="001133C0" w:rsidRDefault="001B70B4" w:rsidP="0048394E">
      <w:pPr>
        <w:widowControl w:val="0"/>
        <w:jc w:val="both"/>
        <w:rPr>
          <w:rFonts w:cstheme="minorHAnsi"/>
          <w:sz w:val="24"/>
          <w:szCs w:val="24"/>
        </w:rPr>
      </w:pPr>
      <w:r w:rsidRPr="001133C0">
        <w:rPr>
          <w:rFonts w:cstheme="minorHAnsi"/>
          <w:sz w:val="24"/>
          <w:szCs w:val="24"/>
        </w:rPr>
        <w:t xml:space="preserve">Alcohol consumption is a significant problem in Region 10, which is evident in these reported statistics.  In comparison to the state, Region 10 had several counties with higher percentages for all grades among all the OPNA alcohol consumption indicators listed.  </w:t>
      </w:r>
      <w:r w:rsidR="0048394E">
        <w:rPr>
          <w:rFonts w:cstheme="minorHAnsi"/>
          <w:sz w:val="24"/>
          <w:szCs w:val="24"/>
        </w:rPr>
        <w:t>According to the</w:t>
      </w:r>
      <w:r w:rsidR="00F237F2">
        <w:rPr>
          <w:rFonts w:cstheme="minorHAnsi"/>
          <w:sz w:val="24"/>
          <w:szCs w:val="24"/>
        </w:rPr>
        <w:t xml:space="preserve"> 2</w:t>
      </w:r>
      <w:r w:rsidR="00FC7ABD">
        <w:rPr>
          <w:rFonts w:cstheme="minorHAnsi"/>
          <w:sz w:val="24"/>
          <w:szCs w:val="24"/>
        </w:rPr>
        <w:t>016 OPNA, among Bryan County’s 6</w:t>
      </w:r>
      <w:r w:rsidR="00F237F2">
        <w:rPr>
          <w:rFonts w:cstheme="minorHAnsi"/>
          <w:sz w:val="24"/>
          <w:szCs w:val="24"/>
        </w:rPr>
        <w:t>-10</w:t>
      </w:r>
      <w:r w:rsidR="00F237F2" w:rsidRPr="00F237F2">
        <w:rPr>
          <w:rFonts w:cstheme="minorHAnsi"/>
          <w:sz w:val="24"/>
          <w:szCs w:val="24"/>
          <w:vertAlign w:val="superscript"/>
        </w:rPr>
        <w:t>th</w:t>
      </w:r>
      <w:r w:rsidR="00F237F2">
        <w:rPr>
          <w:rFonts w:cstheme="minorHAnsi"/>
          <w:sz w:val="24"/>
          <w:szCs w:val="24"/>
        </w:rPr>
        <w:t xml:space="preserve"> grade students</w:t>
      </w:r>
      <w:r w:rsidR="00FC7ABD">
        <w:rPr>
          <w:rFonts w:cstheme="minorHAnsi"/>
          <w:sz w:val="24"/>
          <w:szCs w:val="24"/>
        </w:rPr>
        <w:t xml:space="preserve"> who reported Past 30 </w:t>
      </w:r>
      <w:r w:rsidR="00E251B9">
        <w:rPr>
          <w:rFonts w:cstheme="minorHAnsi"/>
          <w:sz w:val="24"/>
          <w:szCs w:val="24"/>
        </w:rPr>
        <w:t>D</w:t>
      </w:r>
      <w:r w:rsidR="00FC7ABD">
        <w:rPr>
          <w:rFonts w:cstheme="minorHAnsi"/>
          <w:sz w:val="24"/>
          <w:szCs w:val="24"/>
        </w:rPr>
        <w:t xml:space="preserve">ay </w:t>
      </w:r>
      <w:r w:rsidR="00E251B9">
        <w:rPr>
          <w:rFonts w:cstheme="minorHAnsi"/>
          <w:sz w:val="24"/>
          <w:szCs w:val="24"/>
        </w:rPr>
        <w:t>Use</w:t>
      </w:r>
      <w:r w:rsidR="00F237F2">
        <w:rPr>
          <w:rFonts w:cstheme="minorHAnsi"/>
          <w:sz w:val="24"/>
          <w:szCs w:val="24"/>
        </w:rPr>
        <w:t>, with the exceptions of Carter and Pontotoc, had higher percentages than the state.  Among 8</w:t>
      </w:r>
      <w:r w:rsidRPr="001133C0">
        <w:rPr>
          <w:rFonts w:cstheme="minorHAnsi"/>
          <w:sz w:val="24"/>
          <w:szCs w:val="24"/>
          <w:vertAlign w:val="superscript"/>
        </w:rPr>
        <w:t>th</w:t>
      </w:r>
      <w:r w:rsidRPr="001133C0">
        <w:rPr>
          <w:rFonts w:cstheme="minorHAnsi"/>
          <w:sz w:val="24"/>
          <w:szCs w:val="24"/>
        </w:rPr>
        <w:t>-12</w:t>
      </w:r>
      <w:r w:rsidRPr="001133C0">
        <w:rPr>
          <w:rFonts w:cstheme="minorHAnsi"/>
          <w:sz w:val="24"/>
          <w:szCs w:val="24"/>
          <w:vertAlign w:val="superscript"/>
        </w:rPr>
        <w:t>th</w:t>
      </w:r>
      <w:r w:rsidRPr="001133C0">
        <w:rPr>
          <w:rFonts w:cstheme="minorHAnsi"/>
          <w:sz w:val="24"/>
          <w:szCs w:val="24"/>
        </w:rPr>
        <w:t xml:space="preserve"> graders who reported riding</w:t>
      </w:r>
      <w:r w:rsidR="00F237F2">
        <w:rPr>
          <w:rFonts w:cstheme="minorHAnsi"/>
          <w:sz w:val="24"/>
          <w:szCs w:val="24"/>
        </w:rPr>
        <w:t xml:space="preserve"> with a drinking driver, Bryan County </w:t>
      </w:r>
      <w:r w:rsidRPr="001133C0">
        <w:rPr>
          <w:rFonts w:cstheme="minorHAnsi"/>
          <w:sz w:val="24"/>
          <w:szCs w:val="24"/>
        </w:rPr>
        <w:t xml:space="preserve">reported higher rates in comparison to the state.  </w:t>
      </w:r>
      <w:r w:rsidR="00FC7ABD">
        <w:rPr>
          <w:rFonts w:cstheme="minorHAnsi"/>
          <w:sz w:val="24"/>
          <w:szCs w:val="24"/>
        </w:rPr>
        <w:t xml:space="preserve">Bryan </w:t>
      </w:r>
      <w:r w:rsidRPr="001133C0">
        <w:rPr>
          <w:rFonts w:cstheme="minorHAnsi"/>
          <w:sz w:val="24"/>
          <w:szCs w:val="24"/>
        </w:rPr>
        <w:t xml:space="preserve">County </w:t>
      </w:r>
      <w:r w:rsidR="00FC7ABD">
        <w:rPr>
          <w:rFonts w:cstheme="minorHAnsi"/>
          <w:sz w:val="24"/>
          <w:szCs w:val="24"/>
        </w:rPr>
        <w:t xml:space="preserve">also had </w:t>
      </w:r>
      <w:r w:rsidRPr="001133C0">
        <w:rPr>
          <w:rFonts w:cstheme="minorHAnsi"/>
          <w:sz w:val="24"/>
          <w:szCs w:val="24"/>
        </w:rPr>
        <w:t xml:space="preserve">higher percentages among all the grades within the </w:t>
      </w:r>
      <w:r w:rsidR="00545D32">
        <w:rPr>
          <w:rFonts w:cstheme="minorHAnsi"/>
          <w:sz w:val="24"/>
          <w:szCs w:val="24"/>
        </w:rPr>
        <w:t xml:space="preserve">Past 30 Day Bing Use </w:t>
      </w:r>
      <w:r w:rsidRPr="001133C0">
        <w:rPr>
          <w:rFonts w:cstheme="minorHAnsi"/>
          <w:sz w:val="24"/>
          <w:szCs w:val="24"/>
        </w:rPr>
        <w:t xml:space="preserve">indicator compared to the state. </w:t>
      </w:r>
    </w:p>
    <w:p w:rsidR="001B70B4" w:rsidRPr="00F237F2" w:rsidRDefault="001B70B4" w:rsidP="00F237F2">
      <w:pPr>
        <w:widowControl w:val="0"/>
        <w:jc w:val="both"/>
        <w:rPr>
          <w:rFonts w:cstheme="minorHAnsi"/>
          <w:sz w:val="24"/>
          <w:szCs w:val="24"/>
        </w:rPr>
      </w:pPr>
      <w:r w:rsidRPr="00F237F2">
        <w:rPr>
          <w:rFonts w:cstheme="minorHAnsi"/>
          <w:sz w:val="24"/>
          <w:szCs w:val="24"/>
        </w:rPr>
        <w:t xml:space="preserve">The nonmedical use of prescription drugs is an emerging issue in the nation and is a high priority for Oklahoma. For the year 2013-2014 the Substance Abuse in Mental Health Services Administration (SAMHSA) named Oklahoma as having the highest prevalence of prescription painkiller abuse for the population age 12 and older. This issue is also reflected in Region 10. Prescription drug treatment admissions, which are collected by county of residence, are high in </w:t>
      </w:r>
      <w:r w:rsidRPr="00F237F2">
        <w:rPr>
          <w:rFonts w:cstheme="minorHAnsi"/>
          <w:sz w:val="24"/>
          <w:szCs w:val="24"/>
        </w:rPr>
        <w:lastRenderedPageBreak/>
        <w:t xml:space="preserve">Bryan </w:t>
      </w:r>
      <w:r w:rsidR="00F237F2" w:rsidRPr="00F237F2">
        <w:rPr>
          <w:rFonts w:cstheme="minorHAnsi"/>
          <w:sz w:val="24"/>
          <w:szCs w:val="24"/>
        </w:rPr>
        <w:t>County (0.5), Carter County (0.4), and Pontotoc County (0.4</w:t>
      </w:r>
      <w:r w:rsidRPr="00F237F2">
        <w:rPr>
          <w:rFonts w:cstheme="minorHAnsi"/>
          <w:sz w:val="24"/>
          <w:szCs w:val="24"/>
        </w:rPr>
        <w:t xml:space="preserve">). (ODMHSAS) In addition, </w:t>
      </w:r>
      <w:r w:rsidR="00F237F2" w:rsidRPr="00F237F2">
        <w:rPr>
          <w:rFonts w:cstheme="minorHAnsi"/>
          <w:sz w:val="24"/>
          <w:szCs w:val="24"/>
        </w:rPr>
        <w:t xml:space="preserve">seven </w:t>
      </w:r>
      <w:r w:rsidRPr="00F237F2">
        <w:rPr>
          <w:rFonts w:cstheme="minorHAnsi"/>
          <w:sz w:val="24"/>
          <w:szCs w:val="24"/>
        </w:rPr>
        <w:t>of Region 10’s eight counties are higher than the state in opioid analgesic deaths.</w:t>
      </w:r>
      <w:r w:rsidR="00FC7ABD">
        <w:rPr>
          <w:rFonts w:cstheme="minorHAnsi"/>
          <w:sz w:val="24"/>
          <w:szCs w:val="24"/>
        </w:rPr>
        <w:t xml:space="preserve"> (NVSS)</w:t>
      </w:r>
      <w:r w:rsidRPr="00F237F2">
        <w:rPr>
          <w:rFonts w:cstheme="minorHAnsi"/>
          <w:sz w:val="24"/>
          <w:szCs w:val="24"/>
        </w:rPr>
        <w:t xml:space="preserve"> As the data and statistics show, Region 10 has a prevalent problem with underage alcohol use and prescription drug misuse.</w:t>
      </w:r>
    </w:p>
    <w:p w:rsidR="001B70B4" w:rsidRPr="001133C0" w:rsidRDefault="001B70B4" w:rsidP="001B70B4">
      <w:pPr>
        <w:autoSpaceDE w:val="0"/>
        <w:autoSpaceDN w:val="0"/>
        <w:adjustRightInd w:val="0"/>
        <w:spacing w:after="0" w:line="240" w:lineRule="auto"/>
        <w:jc w:val="center"/>
        <w:rPr>
          <w:rFonts w:cstheme="minorHAnsi"/>
          <w:b/>
          <w:bCs/>
          <w:color w:val="000000"/>
          <w:sz w:val="28"/>
          <w:szCs w:val="28"/>
          <w:u w:val="single"/>
        </w:rPr>
      </w:pPr>
    </w:p>
    <w:p w:rsidR="001B70B4" w:rsidRPr="001133C0" w:rsidRDefault="001B70B4" w:rsidP="001B70B4">
      <w:pPr>
        <w:autoSpaceDE w:val="0"/>
        <w:autoSpaceDN w:val="0"/>
        <w:adjustRightInd w:val="0"/>
        <w:spacing w:after="0" w:line="240" w:lineRule="auto"/>
        <w:jc w:val="center"/>
        <w:rPr>
          <w:rFonts w:cstheme="minorHAnsi"/>
          <w:b/>
          <w:bCs/>
          <w:color w:val="000000"/>
          <w:sz w:val="28"/>
          <w:szCs w:val="28"/>
          <w:u w:val="single"/>
        </w:rPr>
      </w:pPr>
    </w:p>
    <w:p w:rsidR="001B70B4" w:rsidRPr="001133C0" w:rsidRDefault="001B70B4" w:rsidP="001B70B4">
      <w:pPr>
        <w:autoSpaceDE w:val="0"/>
        <w:autoSpaceDN w:val="0"/>
        <w:adjustRightInd w:val="0"/>
        <w:spacing w:after="0" w:line="240" w:lineRule="auto"/>
        <w:jc w:val="center"/>
        <w:rPr>
          <w:rFonts w:cstheme="minorHAnsi"/>
          <w:b/>
          <w:bCs/>
          <w:color w:val="000000"/>
          <w:sz w:val="28"/>
          <w:szCs w:val="28"/>
          <w:u w:val="single"/>
        </w:rPr>
      </w:pPr>
    </w:p>
    <w:p w:rsidR="001B70B4" w:rsidRPr="001133C0" w:rsidRDefault="001B70B4" w:rsidP="001B70B4">
      <w:pPr>
        <w:autoSpaceDE w:val="0"/>
        <w:autoSpaceDN w:val="0"/>
        <w:adjustRightInd w:val="0"/>
        <w:spacing w:after="0" w:line="240" w:lineRule="auto"/>
        <w:jc w:val="center"/>
        <w:rPr>
          <w:rFonts w:cstheme="minorHAnsi"/>
          <w:b/>
          <w:bCs/>
          <w:color w:val="000000"/>
          <w:sz w:val="28"/>
          <w:szCs w:val="28"/>
          <w:u w:val="single"/>
        </w:rPr>
      </w:pPr>
    </w:p>
    <w:p w:rsidR="001B70B4" w:rsidRPr="001133C0" w:rsidRDefault="001B70B4" w:rsidP="001B70B4">
      <w:pPr>
        <w:autoSpaceDE w:val="0"/>
        <w:autoSpaceDN w:val="0"/>
        <w:adjustRightInd w:val="0"/>
        <w:spacing w:after="0" w:line="240" w:lineRule="auto"/>
        <w:jc w:val="center"/>
        <w:rPr>
          <w:rFonts w:cstheme="minorHAnsi"/>
          <w:b/>
          <w:bCs/>
          <w:color w:val="000000"/>
          <w:sz w:val="28"/>
          <w:szCs w:val="28"/>
          <w:u w:val="single"/>
        </w:rPr>
      </w:pPr>
    </w:p>
    <w:p w:rsidR="001B70B4" w:rsidRPr="001133C0" w:rsidRDefault="001B70B4" w:rsidP="001B70B4">
      <w:pPr>
        <w:autoSpaceDE w:val="0"/>
        <w:autoSpaceDN w:val="0"/>
        <w:adjustRightInd w:val="0"/>
        <w:spacing w:after="0" w:line="240" w:lineRule="auto"/>
        <w:jc w:val="center"/>
        <w:rPr>
          <w:rFonts w:cstheme="minorHAnsi"/>
          <w:b/>
          <w:bCs/>
          <w:color w:val="000000"/>
          <w:sz w:val="28"/>
          <w:szCs w:val="28"/>
          <w:u w:val="single"/>
        </w:rPr>
      </w:pPr>
    </w:p>
    <w:p w:rsidR="001B70B4" w:rsidRPr="001133C0" w:rsidRDefault="001B70B4" w:rsidP="001B70B4">
      <w:pPr>
        <w:autoSpaceDE w:val="0"/>
        <w:autoSpaceDN w:val="0"/>
        <w:adjustRightInd w:val="0"/>
        <w:spacing w:after="0" w:line="240" w:lineRule="auto"/>
        <w:jc w:val="center"/>
        <w:rPr>
          <w:rFonts w:cstheme="minorHAnsi"/>
          <w:b/>
          <w:bCs/>
          <w:color w:val="000000"/>
          <w:sz w:val="28"/>
          <w:szCs w:val="28"/>
          <w:u w:val="single"/>
        </w:rPr>
      </w:pPr>
    </w:p>
    <w:p w:rsidR="00F6565D" w:rsidRDefault="00F6565D">
      <w:pPr>
        <w:rPr>
          <w:rFonts w:cstheme="minorHAnsi"/>
          <w:b/>
          <w:bCs/>
          <w:color w:val="000000"/>
          <w:sz w:val="28"/>
          <w:szCs w:val="28"/>
          <w:u w:val="single"/>
        </w:rPr>
      </w:pPr>
      <w:r>
        <w:rPr>
          <w:rFonts w:cstheme="minorHAnsi"/>
          <w:b/>
          <w:bCs/>
          <w:color w:val="000000"/>
          <w:sz w:val="28"/>
          <w:szCs w:val="28"/>
          <w:u w:val="single"/>
        </w:rPr>
        <w:br w:type="page"/>
      </w:r>
    </w:p>
    <w:p w:rsidR="001B70B4" w:rsidRPr="001133C0" w:rsidRDefault="001B70B4" w:rsidP="001B70B4">
      <w:pPr>
        <w:autoSpaceDE w:val="0"/>
        <w:autoSpaceDN w:val="0"/>
        <w:adjustRightInd w:val="0"/>
        <w:spacing w:after="0" w:line="240" w:lineRule="auto"/>
        <w:jc w:val="center"/>
        <w:rPr>
          <w:rFonts w:cstheme="minorHAnsi"/>
          <w:b/>
          <w:bCs/>
          <w:color w:val="000000"/>
          <w:sz w:val="28"/>
          <w:szCs w:val="28"/>
          <w:u w:val="single"/>
        </w:rPr>
      </w:pPr>
      <w:r w:rsidRPr="001133C0">
        <w:rPr>
          <w:rFonts w:cstheme="minorHAnsi"/>
          <w:b/>
          <w:bCs/>
          <w:color w:val="000000"/>
          <w:sz w:val="28"/>
          <w:szCs w:val="28"/>
          <w:u w:val="single"/>
        </w:rPr>
        <w:lastRenderedPageBreak/>
        <w:t>Data Sources/Citations</w:t>
      </w:r>
    </w:p>
    <w:p w:rsidR="001B70B4" w:rsidRPr="001133C0" w:rsidRDefault="001B70B4" w:rsidP="001B70B4">
      <w:pPr>
        <w:autoSpaceDE w:val="0"/>
        <w:autoSpaceDN w:val="0"/>
        <w:adjustRightInd w:val="0"/>
        <w:spacing w:after="0" w:line="240" w:lineRule="auto"/>
        <w:rPr>
          <w:rFonts w:cstheme="minorHAnsi"/>
          <w:color w:val="000000"/>
          <w:sz w:val="23"/>
          <w:szCs w:val="23"/>
        </w:rPr>
      </w:pPr>
    </w:p>
    <w:p w:rsidR="001B70B4" w:rsidRPr="00F237F2" w:rsidRDefault="001B70B4" w:rsidP="00F237F2">
      <w:pPr>
        <w:jc w:val="both"/>
        <w:rPr>
          <w:rFonts w:cstheme="minorHAnsi"/>
          <w:sz w:val="24"/>
          <w:szCs w:val="24"/>
        </w:rPr>
      </w:pPr>
      <w:r w:rsidRPr="00F237F2">
        <w:rPr>
          <w:rFonts w:cstheme="minorHAnsi"/>
          <w:b/>
          <w:bCs/>
          <w:sz w:val="24"/>
          <w:szCs w:val="24"/>
        </w:rPr>
        <w:t xml:space="preserve">Behavioral Risk Factor Surveillance Survey (BRFSS) · </w:t>
      </w:r>
      <w:r w:rsidRPr="00F237F2">
        <w:rPr>
          <w:rFonts w:cstheme="minorHAnsi"/>
          <w:sz w:val="24"/>
          <w:szCs w:val="24"/>
        </w:rPr>
        <w:t xml:space="preserve">Established in 1984 by the Centers for Disease Control and Prevention (CDC), the Behavioral Risk Factor Surveillance System (BRFSS) is a state-based system of health surveys that collects information on health risk behaviors, preventive health practices, and health care access primarily related to chronic disease and injury. For many states, the BRFSS is the only available source of timely, accurate data on health-related behaviors. Oklahoma has participated in BRFSS since 1995. This report focused on 2010 BRFSS data to give a current picture of substance use/abuse in Oklahoma. http://www.cdc.gov/brfss/about.htm </w:t>
      </w:r>
    </w:p>
    <w:p w:rsidR="001B70B4" w:rsidRPr="00F237F2" w:rsidRDefault="001B70B4" w:rsidP="00F237F2">
      <w:pPr>
        <w:jc w:val="both"/>
        <w:rPr>
          <w:rFonts w:cstheme="minorHAnsi"/>
          <w:sz w:val="24"/>
          <w:szCs w:val="24"/>
        </w:rPr>
      </w:pPr>
      <w:r w:rsidRPr="00F237F2">
        <w:rPr>
          <w:rFonts w:cstheme="minorHAnsi"/>
          <w:b/>
          <w:sz w:val="24"/>
          <w:szCs w:val="24"/>
        </w:rPr>
        <w:t xml:space="preserve">CSAP Indicators </w:t>
      </w:r>
      <w:r w:rsidRPr="00F237F2">
        <w:rPr>
          <w:rFonts w:cstheme="minorHAnsi"/>
          <w:b/>
          <w:bCs/>
          <w:sz w:val="24"/>
          <w:szCs w:val="24"/>
        </w:rPr>
        <w:t xml:space="preserve">· </w:t>
      </w:r>
      <w:r w:rsidRPr="00F237F2">
        <w:rPr>
          <w:rFonts w:cstheme="minorHAnsi"/>
          <w:bCs/>
          <w:sz w:val="24"/>
          <w:szCs w:val="24"/>
        </w:rPr>
        <w:t xml:space="preserve">Provided in the Appendix. </w:t>
      </w:r>
      <w:r w:rsidRPr="00F237F2">
        <w:rPr>
          <w:rFonts w:cstheme="minorHAnsi"/>
          <w:sz w:val="24"/>
          <w:szCs w:val="24"/>
        </w:rPr>
        <w:t>CSAP is a division of the Substance Abuse and Mental Health Services Administration (SAMHSA).</w:t>
      </w:r>
    </w:p>
    <w:p w:rsidR="001B70B4" w:rsidRPr="00F237F2" w:rsidRDefault="001B70B4" w:rsidP="00F237F2">
      <w:pPr>
        <w:jc w:val="both"/>
        <w:rPr>
          <w:rFonts w:cstheme="minorHAnsi"/>
          <w:sz w:val="24"/>
          <w:szCs w:val="24"/>
        </w:rPr>
      </w:pPr>
      <w:r w:rsidRPr="00F237F2">
        <w:rPr>
          <w:rFonts w:cstheme="minorHAnsi"/>
          <w:b/>
          <w:bCs/>
          <w:sz w:val="24"/>
          <w:szCs w:val="24"/>
        </w:rPr>
        <w:t xml:space="preserve">National Vital Statistics System (NVSS) · </w:t>
      </w:r>
      <w:r w:rsidRPr="00F237F2">
        <w:rPr>
          <w:rFonts w:cstheme="minorHAnsi"/>
          <w:sz w:val="24"/>
          <w:szCs w:val="24"/>
        </w:rPr>
        <w:t xml:space="preserve">Centers for Disease Control and Prevention.  </w:t>
      </w:r>
      <w:r w:rsidRPr="00F237F2">
        <w:rPr>
          <w:rFonts w:cstheme="minorHAnsi"/>
          <w:i/>
          <w:iCs/>
          <w:sz w:val="24"/>
          <w:szCs w:val="24"/>
        </w:rPr>
        <w:t>CDC Wonder</w:t>
      </w:r>
      <w:r w:rsidRPr="00F237F2">
        <w:rPr>
          <w:rFonts w:cstheme="minorHAnsi"/>
          <w:sz w:val="24"/>
          <w:szCs w:val="24"/>
        </w:rPr>
        <w:t xml:space="preserve"> [1999-2007].</w:t>
      </w:r>
      <w:hyperlink r:id="rId11" w:history="1">
        <w:r w:rsidRPr="00F237F2">
          <w:rPr>
            <w:rFonts w:cstheme="minorHAnsi"/>
            <w:sz w:val="24"/>
            <w:szCs w:val="24"/>
            <w:u w:val="single"/>
          </w:rPr>
          <w:t>http://wonder.cdc.gov/</w:t>
        </w:r>
      </w:hyperlink>
    </w:p>
    <w:p w:rsidR="001B70B4" w:rsidRPr="00F237F2" w:rsidRDefault="001B70B4" w:rsidP="00F237F2">
      <w:pPr>
        <w:jc w:val="both"/>
        <w:rPr>
          <w:rFonts w:cstheme="minorHAnsi"/>
          <w:sz w:val="24"/>
          <w:szCs w:val="24"/>
        </w:rPr>
      </w:pPr>
      <w:r w:rsidRPr="00F237F2">
        <w:rPr>
          <w:rFonts w:cstheme="minorHAnsi"/>
          <w:b/>
          <w:bCs/>
          <w:sz w:val="24"/>
          <w:szCs w:val="24"/>
        </w:rPr>
        <w:t xml:space="preserve">National Survey on Drug Use and Health (NSDUH) · </w:t>
      </w:r>
      <w:r w:rsidRPr="00F237F2">
        <w:rPr>
          <w:rFonts w:cstheme="minorHAnsi"/>
          <w:sz w:val="24"/>
          <w:szCs w:val="24"/>
        </w:rPr>
        <w:t xml:space="preserve">The National Survey on Drug Use and Health (NSDUH) provides annual data on drug use in the United States. The NSDUH is sponsored by the Substance Abuse and Mental Health Services Administration (SAMHSA), an agency of the U.S. Public Health Service and a part of the Department of Health and Human Services (DHHS). The survey provides yearly national and state level estimates of alcohol, tobacco, illicit drug, and nonmedical prescription drug use. </w:t>
      </w:r>
    </w:p>
    <w:p w:rsidR="001B70B4" w:rsidRPr="00F237F2" w:rsidRDefault="001B70B4" w:rsidP="00F237F2">
      <w:pPr>
        <w:jc w:val="both"/>
        <w:rPr>
          <w:rFonts w:cstheme="minorHAnsi"/>
          <w:sz w:val="24"/>
          <w:szCs w:val="24"/>
        </w:rPr>
      </w:pPr>
      <w:r w:rsidRPr="00F237F2">
        <w:rPr>
          <w:rFonts w:cstheme="minorHAnsi"/>
          <w:b/>
          <w:bCs/>
          <w:sz w:val="24"/>
          <w:szCs w:val="24"/>
        </w:rPr>
        <w:t xml:space="preserve">Oklahoma Bureau of Narcotics and Dangerous Drugs (OBN) · </w:t>
      </w:r>
      <w:r w:rsidRPr="00F237F2">
        <w:rPr>
          <w:rFonts w:cstheme="minorHAnsi"/>
          <w:sz w:val="24"/>
          <w:szCs w:val="24"/>
        </w:rPr>
        <w:t xml:space="preserve">The Oklahoma State Bureau of Narcotics and Dangerous Drugs Control is a law enforcement agency with a goal of minimizing the abuse of controlled substances through law enforcement measures directed primarily at drug trafficking, illicit drug manufacturing, and major suppliers of illicit drugs. </w:t>
      </w:r>
    </w:p>
    <w:p w:rsidR="001B70B4" w:rsidRPr="00F237F2" w:rsidRDefault="001B70B4" w:rsidP="00F237F2">
      <w:pPr>
        <w:jc w:val="both"/>
        <w:rPr>
          <w:rFonts w:cstheme="minorHAnsi"/>
          <w:sz w:val="24"/>
          <w:szCs w:val="24"/>
        </w:rPr>
      </w:pPr>
      <w:r w:rsidRPr="00F237F2">
        <w:rPr>
          <w:rFonts w:cstheme="minorHAnsi"/>
          <w:b/>
          <w:bCs/>
          <w:sz w:val="24"/>
          <w:szCs w:val="24"/>
        </w:rPr>
        <w:t xml:space="preserve">Oklahoma Department of Mental Health and Substance Abuse Services (ODMHSAS) · </w:t>
      </w:r>
      <w:r w:rsidRPr="00F237F2">
        <w:rPr>
          <w:rFonts w:cstheme="minorHAnsi"/>
          <w:sz w:val="24"/>
          <w:szCs w:val="24"/>
        </w:rPr>
        <w:t xml:space="preserve">The ODMHSAS was established in 1953 and continues to evolve to meet the needs of all Oklahomans. Collaborating with leaders from multiple state agencies, advocacy organizations, consumers and family members, providers, community leaders and elected officials, the way has been paved for meaningful mental health and substance abuse services transformation in Oklahoma. The ODMHSAS is responsible for providing services to Oklahomans who are affected by mental illness and substance abuse. Treatment data was extracted by ODMHSAS in October 2015 and represents treatment admissions by ODMHSAS providers for up to three drugs (substances) of choice along with children and co-dependents. </w:t>
      </w:r>
    </w:p>
    <w:p w:rsidR="001B70B4" w:rsidRPr="00F237F2" w:rsidRDefault="001B70B4" w:rsidP="00F237F2">
      <w:pPr>
        <w:jc w:val="both"/>
        <w:rPr>
          <w:rFonts w:cstheme="minorHAnsi"/>
          <w:sz w:val="24"/>
          <w:szCs w:val="24"/>
        </w:rPr>
      </w:pPr>
      <w:r w:rsidRPr="00F237F2">
        <w:rPr>
          <w:rFonts w:cstheme="minorHAnsi"/>
          <w:b/>
          <w:bCs/>
          <w:sz w:val="24"/>
          <w:szCs w:val="24"/>
        </w:rPr>
        <w:t xml:space="preserve">Oklahoma Prevention Needs Assessment Survey (OPNA) · </w:t>
      </w:r>
      <w:r w:rsidRPr="00F237F2">
        <w:rPr>
          <w:rFonts w:cstheme="minorHAnsi"/>
          <w:sz w:val="24"/>
          <w:szCs w:val="24"/>
        </w:rPr>
        <w:t xml:space="preserve">The Oklahoma Prevention Needs Assessment is a paper/pencil survey administered in opposite years of the YRBS in schools to </w:t>
      </w:r>
      <w:r w:rsidRPr="00F237F2">
        <w:rPr>
          <w:rFonts w:cstheme="minorHAnsi"/>
          <w:sz w:val="24"/>
          <w:szCs w:val="24"/>
        </w:rPr>
        <w:lastRenderedPageBreak/>
        <w:t xml:space="preserve">6th, 8th, 10th and 12th grade students. The survey is designed to assess students’ involvement in a specific set of problem behaviors, as well as their exposure to a set of scientifically validated risk and protective factors. </w:t>
      </w:r>
    </w:p>
    <w:p w:rsidR="001B70B4" w:rsidRPr="00F237F2" w:rsidRDefault="001B70B4" w:rsidP="00F237F2">
      <w:pPr>
        <w:jc w:val="both"/>
        <w:rPr>
          <w:rFonts w:cstheme="minorHAnsi"/>
          <w:sz w:val="24"/>
          <w:szCs w:val="24"/>
        </w:rPr>
      </w:pPr>
      <w:r w:rsidRPr="00F237F2">
        <w:rPr>
          <w:rFonts w:cstheme="minorHAnsi"/>
          <w:b/>
          <w:bCs/>
          <w:sz w:val="24"/>
          <w:szCs w:val="24"/>
        </w:rPr>
        <w:t xml:space="preserve">Oklahoma State Bureau of Investigation (OSBI) · </w:t>
      </w:r>
      <w:r w:rsidRPr="00F237F2">
        <w:rPr>
          <w:rFonts w:cstheme="minorHAnsi"/>
          <w:sz w:val="24"/>
          <w:szCs w:val="24"/>
        </w:rPr>
        <w:t xml:space="preserve">The Oklahoma State Bureau of Investigation Uniform Crime Reporting (UCR) Program is part of a nationwide, cooperative statistical effort administered by the Federal Bureau of Investigation. The UCR Program was conceived, developed and implemented to serve law enforcement as a tool for operational and administrative purposes. </w:t>
      </w:r>
    </w:p>
    <w:p w:rsidR="001B70B4" w:rsidRPr="00F237F2" w:rsidRDefault="001B70B4" w:rsidP="00F237F2">
      <w:pPr>
        <w:jc w:val="both"/>
        <w:rPr>
          <w:rFonts w:cstheme="minorHAnsi"/>
          <w:sz w:val="24"/>
          <w:szCs w:val="24"/>
        </w:rPr>
      </w:pPr>
      <w:r w:rsidRPr="00F237F2">
        <w:rPr>
          <w:rFonts w:cstheme="minorHAnsi"/>
          <w:b/>
          <w:bCs/>
          <w:sz w:val="24"/>
          <w:szCs w:val="24"/>
        </w:rPr>
        <w:t xml:space="preserve">Oklahoma State Department of Health (OSDH) · </w:t>
      </w:r>
      <w:r w:rsidRPr="00F237F2">
        <w:rPr>
          <w:rFonts w:cstheme="minorHAnsi"/>
          <w:sz w:val="24"/>
          <w:szCs w:val="24"/>
        </w:rPr>
        <w:t xml:space="preserve">The OSDH is a department of the government of Oklahoma responsible for protecting the health of all Oklahomans and providing other essential human services and through its system of local health services delivery, is responsible for protecting and improving the public’s health status through strategies that focus on prevention. </w:t>
      </w:r>
    </w:p>
    <w:p w:rsidR="001B70B4" w:rsidRPr="00F237F2" w:rsidRDefault="001B70B4" w:rsidP="00F237F2">
      <w:pPr>
        <w:jc w:val="both"/>
        <w:rPr>
          <w:rFonts w:cstheme="minorHAnsi"/>
          <w:sz w:val="24"/>
          <w:szCs w:val="24"/>
        </w:rPr>
      </w:pPr>
      <w:r w:rsidRPr="00F237F2">
        <w:rPr>
          <w:rFonts w:cstheme="minorHAnsi"/>
          <w:b/>
          <w:bCs/>
          <w:sz w:val="24"/>
          <w:szCs w:val="24"/>
        </w:rPr>
        <w:t xml:space="preserve">Substance Abuse and Mental Health Services Administration (SAMHSA) · </w:t>
      </w:r>
      <w:r w:rsidRPr="00F237F2">
        <w:rPr>
          <w:rFonts w:cstheme="minorHAnsi"/>
          <w:sz w:val="24"/>
          <w:szCs w:val="24"/>
        </w:rPr>
        <w:t xml:space="preserve">The Substance Abuse and Mental Health Services Administration (SAMHSA), part of the U.S. Department of Health and Human Services (HHS), focuses attention, programs and funding on promoting a life in the community with jobs, homes and meaningful relationships with family and friends for people with or at risk for mental or substance use disorders. The Agency is achieving that vision through an action-oriented, measurable mission of building resilience and facilitating recovery. </w:t>
      </w:r>
    </w:p>
    <w:p w:rsidR="001B70B4" w:rsidRPr="00F237F2" w:rsidRDefault="001B70B4" w:rsidP="00F237F2">
      <w:pPr>
        <w:jc w:val="both"/>
        <w:rPr>
          <w:rFonts w:cstheme="minorHAnsi"/>
          <w:sz w:val="24"/>
          <w:szCs w:val="24"/>
        </w:rPr>
      </w:pPr>
      <w:r w:rsidRPr="00F237F2">
        <w:rPr>
          <w:rFonts w:cstheme="minorHAnsi"/>
          <w:b/>
          <w:bCs/>
          <w:sz w:val="24"/>
          <w:szCs w:val="24"/>
        </w:rPr>
        <w:t xml:space="preserve">The Uniform Crime Report (UCR) </w:t>
      </w:r>
      <w:r w:rsidRPr="00F237F2">
        <w:rPr>
          <w:rFonts w:cstheme="minorHAnsi"/>
          <w:sz w:val="24"/>
          <w:szCs w:val="24"/>
        </w:rPr>
        <w:t xml:space="preserve">The UCR was conceived, developed, and implemented by law enforcement for the express purpose of serving as a tool for operational and administrative purposes. Under the auspices of the International Association of Chiefs of Police, the UCR Program was developed in 1930. Prior to that date, no comprehensive system of crime information on a national scale existed. The Oklahoma State Bureau of Investigation assumed the statewide administration of the UCR Program on September 1, 1973. </w:t>
      </w:r>
    </w:p>
    <w:p w:rsidR="001B70B4" w:rsidRPr="001133C0" w:rsidRDefault="001B70B4" w:rsidP="00F237F2">
      <w:pPr>
        <w:jc w:val="both"/>
        <w:rPr>
          <w:rFonts w:cstheme="minorHAnsi"/>
          <w:sz w:val="24"/>
          <w:szCs w:val="24"/>
        </w:rPr>
      </w:pPr>
      <w:r w:rsidRPr="00F237F2">
        <w:rPr>
          <w:rFonts w:cstheme="minorHAnsi"/>
          <w:b/>
          <w:bCs/>
          <w:sz w:val="24"/>
          <w:szCs w:val="24"/>
        </w:rPr>
        <w:t xml:space="preserve">United States Census Bureau </w:t>
      </w:r>
      <w:proofErr w:type="gramStart"/>
      <w:r w:rsidRPr="00F237F2">
        <w:rPr>
          <w:rFonts w:cstheme="minorHAnsi"/>
          <w:sz w:val="24"/>
          <w:szCs w:val="24"/>
        </w:rPr>
        <w:t>The</w:t>
      </w:r>
      <w:proofErr w:type="gramEnd"/>
      <w:r w:rsidRPr="00F237F2">
        <w:rPr>
          <w:rFonts w:cstheme="minorHAnsi"/>
          <w:sz w:val="24"/>
          <w:szCs w:val="24"/>
        </w:rPr>
        <w:t xml:space="preserve"> Census Bureau serves as the leading source of quality data about the nation’s people and economy. The bureau of the Commerce Department, responsible for taking the census, provides demographic information and analyses about the population of the United States. </w:t>
      </w:r>
    </w:p>
    <w:p w:rsidR="001B70B4" w:rsidRPr="001133C0" w:rsidRDefault="001B70B4" w:rsidP="001B70B4">
      <w:pPr>
        <w:rPr>
          <w:rStyle w:val="lookup-resultcontent"/>
          <w:rFonts w:cstheme="minorHAnsi"/>
        </w:rPr>
      </w:pPr>
    </w:p>
    <w:p w:rsidR="001B70B4" w:rsidRPr="001133C0" w:rsidRDefault="001B70B4" w:rsidP="001B70B4">
      <w:pPr>
        <w:rPr>
          <w:rStyle w:val="lookup-resultcontent"/>
          <w:rFonts w:cstheme="minorHAnsi"/>
        </w:rPr>
      </w:pPr>
    </w:p>
    <w:p w:rsidR="001B70B4" w:rsidRPr="001133C0" w:rsidRDefault="001B70B4" w:rsidP="001B70B4">
      <w:pPr>
        <w:rPr>
          <w:rStyle w:val="lookup-resultcontent"/>
          <w:rFonts w:cstheme="minorHAnsi"/>
        </w:rPr>
      </w:pPr>
    </w:p>
    <w:p w:rsidR="001B70B4" w:rsidRPr="001133C0" w:rsidRDefault="001B70B4" w:rsidP="001B70B4">
      <w:pPr>
        <w:rPr>
          <w:rStyle w:val="lookup-resultcontent"/>
          <w:rFonts w:cstheme="minorHAnsi"/>
          <w:sz w:val="24"/>
          <w:szCs w:val="24"/>
        </w:rPr>
      </w:pPr>
      <w:proofErr w:type="gramStart"/>
      <w:r w:rsidRPr="001133C0">
        <w:rPr>
          <w:rStyle w:val="lookup-resultcontent"/>
          <w:rFonts w:cstheme="minorHAnsi"/>
        </w:rPr>
        <w:lastRenderedPageBreak/>
        <w:t>Board.</w:t>
      </w:r>
      <w:proofErr w:type="gramEnd"/>
      <w:r w:rsidRPr="001133C0">
        <w:rPr>
          <w:rStyle w:val="lookup-resultcontent"/>
          <w:rFonts w:cstheme="minorHAnsi"/>
        </w:rPr>
        <w:t xml:space="preserve"> (2016)(A). Miami University students - </w:t>
      </w:r>
      <w:proofErr w:type="spellStart"/>
      <w:r w:rsidRPr="001133C0">
        <w:rPr>
          <w:rStyle w:val="lookup-resultcontent"/>
          <w:rFonts w:cstheme="minorHAnsi"/>
        </w:rPr>
        <w:t>CollegeData</w:t>
      </w:r>
      <w:proofErr w:type="spellEnd"/>
      <w:r w:rsidRPr="001133C0">
        <w:rPr>
          <w:rStyle w:val="lookup-resultcontent"/>
          <w:rFonts w:cstheme="minorHAnsi"/>
        </w:rPr>
        <w:t xml:space="preserve"> college profile. </w:t>
      </w:r>
      <w:proofErr w:type="gramStart"/>
      <w:r w:rsidRPr="001133C0">
        <w:rPr>
          <w:rStyle w:val="lookup-resultcontent"/>
          <w:rFonts w:cstheme="minorHAnsi"/>
        </w:rPr>
        <w:t>Retrieved October 24, 2016, from COLLEGE DATA, http://www.collegedata.com/cs/data/college/college_pg06_tmpl.jhtml?schoolId=989.</w:t>
      </w:r>
      <w:proofErr w:type="gramEnd"/>
    </w:p>
    <w:p w:rsidR="001B70B4" w:rsidRPr="001133C0" w:rsidRDefault="001B70B4" w:rsidP="001B70B4">
      <w:pPr>
        <w:rPr>
          <w:rFonts w:cstheme="minorHAnsi"/>
          <w:sz w:val="24"/>
          <w:szCs w:val="24"/>
        </w:rPr>
      </w:pPr>
      <w:proofErr w:type="gramStart"/>
      <w:r w:rsidRPr="001133C0">
        <w:rPr>
          <w:rStyle w:val="lookup-resultcontent"/>
          <w:rFonts w:cstheme="minorHAnsi"/>
          <w:sz w:val="24"/>
          <w:szCs w:val="24"/>
        </w:rPr>
        <w:t>Board.</w:t>
      </w:r>
      <w:proofErr w:type="gramEnd"/>
      <w:r w:rsidRPr="001133C0">
        <w:rPr>
          <w:rStyle w:val="lookup-resultcontent"/>
          <w:rFonts w:cstheme="minorHAnsi"/>
          <w:sz w:val="24"/>
          <w:szCs w:val="24"/>
        </w:rPr>
        <w:t xml:space="preserve"> (2016)(B). University of Arizona - </w:t>
      </w:r>
      <w:proofErr w:type="spellStart"/>
      <w:r w:rsidRPr="001133C0">
        <w:rPr>
          <w:rStyle w:val="lookup-resultcontent"/>
          <w:rFonts w:cstheme="minorHAnsi"/>
          <w:sz w:val="24"/>
          <w:szCs w:val="24"/>
        </w:rPr>
        <w:t>CollegeData</w:t>
      </w:r>
      <w:proofErr w:type="spellEnd"/>
      <w:r w:rsidRPr="001133C0">
        <w:rPr>
          <w:rStyle w:val="lookup-resultcontent"/>
          <w:rFonts w:cstheme="minorHAnsi"/>
          <w:sz w:val="24"/>
          <w:szCs w:val="24"/>
        </w:rPr>
        <w:t xml:space="preserve"> college profile. </w:t>
      </w:r>
      <w:proofErr w:type="gramStart"/>
      <w:r w:rsidRPr="001133C0">
        <w:rPr>
          <w:rStyle w:val="lookup-resultcontent"/>
          <w:rFonts w:cstheme="minorHAnsi"/>
          <w:sz w:val="24"/>
          <w:szCs w:val="24"/>
        </w:rPr>
        <w:t>Retrieved October 24, 2016, from COLLEGE DATA, http://www.collegedata.com/cs/data/college/college_pg01_tmpl.jhtml?schoolId=742.</w:t>
      </w:r>
      <w:proofErr w:type="gramEnd"/>
    </w:p>
    <w:p w:rsidR="001B70B4" w:rsidRPr="001133C0" w:rsidRDefault="001B70B4" w:rsidP="001B70B4">
      <w:pPr>
        <w:rPr>
          <w:rStyle w:val="Hyperlink"/>
          <w:rFonts w:cstheme="minorHAnsi"/>
          <w:color w:val="000000" w:themeColor="text1"/>
        </w:rPr>
      </w:pPr>
      <w:proofErr w:type="gramStart"/>
      <w:r w:rsidRPr="001133C0">
        <w:rPr>
          <w:rFonts w:cstheme="minorHAnsi"/>
          <w:color w:val="000000" w:themeColor="text1"/>
        </w:rPr>
        <w:t>Centers for Disease Control and Prevention (CDC).</w:t>
      </w:r>
      <w:proofErr w:type="gramEnd"/>
      <w:r w:rsidRPr="001133C0">
        <w:rPr>
          <w:rFonts w:cstheme="minorHAnsi"/>
          <w:color w:val="000000" w:themeColor="text1"/>
        </w:rPr>
        <w:t xml:space="preserve"> </w:t>
      </w:r>
      <w:proofErr w:type="gramStart"/>
      <w:r w:rsidRPr="001133C0">
        <w:rPr>
          <w:rFonts w:cstheme="minorHAnsi"/>
          <w:color w:val="000000" w:themeColor="text1"/>
        </w:rPr>
        <w:t>(1999-2013). National Vital Statistics System.</w:t>
      </w:r>
      <w:proofErr w:type="gramEnd"/>
      <w:r w:rsidRPr="001133C0">
        <w:rPr>
          <w:rFonts w:cstheme="minorHAnsi"/>
          <w:color w:val="000000" w:themeColor="text1"/>
        </w:rPr>
        <w:t xml:space="preserve"> Access: </w:t>
      </w:r>
      <w:hyperlink r:id="rId12" w:history="1">
        <w:r w:rsidRPr="001133C0">
          <w:rPr>
            <w:rStyle w:val="Hyperlink"/>
            <w:rFonts w:cstheme="minorHAnsi"/>
            <w:color w:val="000000" w:themeColor="text1"/>
          </w:rPr>
          <w:t>www.cdc.gov/nchs.nvss</w:t>
        </w:r>
      </w:hyperlink>
      <w:r w:rsidRPr="001133C0">
        <w:rPr>
          <w:rStyle w:val="Hyperlink"/>
          <w:rFonts w:cstheme="minorHAnsi"/>
          <w:color w:val="000000" w:themeColor="text1"/>
        </w:rPr>
        <w:t>.</w:t>
      </w:r>
    </w:p>
    <w:p w:rsidR="001B70B4" w:rsidRPr="001133C0" w:rsidRDefault="001B70B4" w:rsidP="001B70B4">
      <w:pPr>
        <w:rPr>
          <w:rFonts w:cstheme="minorHAnsi"/>
          <w:iCs/>
          <w:color w:val="000000" w:themeColor="text1"/>
          <w:shd w:val="clear" w:color="auto" w:fill="FFFFFF"/>
        </w:rPr>
      </w:pPr>
      <w:proofErr w:type="gramStart"/>
      <w:r w:rsidRPr="001133C0">
        <w:rPr>
          <w:rFonts w:cstheme="minorHAnsi"/>
          <w:iCs/>
          <w:color w:val="000000" w:themeColor="text1"/>
          <w:shd w:val="clear" w:color="auto" w:fill="FFFFFF"/>
        </w:rPr>
        <w:t>CADCA (Community Anti-Drug Coalitions of America) National Coalition Institute.</w:t>
      </w:r>
      <w:proofErr w:type="gramEnd"/>
      <w:r w:rsidRPr="001133C0">
        <w:rPr>
          <w:rFonts w:cstheme="minorHAnsi"/>
          <w:iCs/>
          <w:color w:val="000000" w:themeColor="text1"/>
          <w:shd w:val="clear" w:color="auto" w:fill="FFFFFF"/>
        </w:rPr>
        <w:t xml:space="preserve"> (2010). </w:t>
      </w:r>
      <w:r w:rsidRPr="001133C0">
        <w:rPr>
          <w:rFonts w:cstheme="minorHAnsi"/>
          <w:i/>
          <w:iCs/>
          <w:color w:val="000000" w:themeColor="text1"/>
          <w:shd w:val="clear" w:color="auto" w:fill="FFFFFF"/>
        </w:rPr>
        <w:t>Cultural Competence Primer:  Incorporating Cultural Competence into Your Comprehensive Plan</w:t>
      </w:r>
      <w:r w:rsidRPr="001133C0">
        <w:rPr>
          <w:rFonts w:cstheme="minorHAnsi"/>
          <w:iCs/>
          <w:color w:val="000000" w:themeColor="text1"/>
          <w:shd w:val="clear" w:color="auto" w:fill="FFFFFF"/>
        </w:rPr>
        <w:t>. Alexandria, VA.</w:t>
      </w:r>
    </w:p>
    <w:p w:rsidR="001B70B4" w:rsidRPr="001133C0" w:rsidRDefault="001B70B4" w:rsidP="001B70B4">
      <w:pPr>
        <w:rPr>
          <w:rFonts w:eastAsia="Calibri" w:cstheme="minorHAnsi"/>
          <w:sz w:val="24"/>
          <w:szCs w:val="24"/>
        </w:rPr>
      </w:pPr>
      <w:proofErr w:type="gramStart"/>
      <w:r w:rsidRPr="001133C0">
        <w:rPr>
          <w:rFonts w:eastAsia="Calibri" w:cstheme="minorHAnsi"/>
          <w:sz w:val="24"/>
          <w:szCs w:val="24"/>
        </w:rPr>
        <w:t>CADCA (Community Anti-Drug Coalitions of America) National Coalition Institute.</w:t>
      </w:r>
      <w:proofErr w:type="gramEnd"/>
      <w:r w:rsidRPr="001133C0">
        <w:rPr>
          <w:rFonts w:eastAsia="Calibri" w:cstheme="minorHAnsi"/>
          <w:sz w:val="24"/>
          <w:szCs w:val="24"/>
        </w:rPr>
        <w:t xml:space="preserve"> </w:t>
      </w:r>
      <w:proofErr w:type="gramStart"/>
      <w:r w:rsidRPr="001133C0">
        <w:rPr>
          <w:rFonts w:eastAsia="Calibri" w:cstheme="minorHAnsi"/>
          <w:sz w:val="24"/>
          <w:szCs w:val="24"/>
        </w:rPr>
        <w:t>( 2007</w:t>
      </w:r>
      <w:proofErr w:type="gramEnd"/>
      <w:r w:rsidRPr="001133C0">
        <w:rPr>
          <w:rFonts w:eastAsia="Calibri" w:cstheme="minorHAnsi"/>
          <w:sz w:val="24"/>
          <w:szCs w:val="24"/>
        </w:rPr>
        <w:t>)(A). Media Advocacy Primer and Marin Institute. Alexandria, VA.</w:t>
      </w:r>
    </w:p>
    <w:p w:rsidR="001B70B4" w:rsidRPr="001133C0" w:rsidRDefault="001B70B4" w:rsidP="001B70B4">
      <w:pPr>
        <w:rPr>
          <w:rFonts w:eastAsia="Calibri" w:cstheme="minorHAnsi"/>
          <w:sz w:val="24"/>
          <w:szCs w:val="24"/>
        </w:rPr>
      </w:pPr>
      <w:proofErr w:type="gramStart"/>
      <w:r w:rsidRPr="001133C0">
        <w:rPr>
          <w:rFonts w:eastAsia="Calibri" w:cstheme="minorHAnsi"/>
          <w:sz w:val="24"/>
          <w:szCs w:val="24"/>
        </w:rPr>
        <w:t>CADCA (Community Anti-Drug Coalitions of America) National Coalition Institute.</w:t>
      </w:r>
      <w:proofErr w:type="gramEnd"/>
      <w:r w:rsidRPr="001133C0">
        <w:rPr>
          <w:rFonts w:eastAsia="Calibri" w:cstheme="minorHAnsi"/>
          <w:sz w:val="24"/>
          <w:szCs w:val="24"/>
        </w:rPr>
        <w:t xml:space="preserve"> </w:t>
      </w:r>
      <w:proofErr w:type="gramStart"/>
      <w:r w:rsidRPr="001133C0">
        <w:rPr>
          <w:rFonts w:eastAsia="Calibri" w:cstheme="minorHAnsi"/>
          <w:sz w:val="24"/>
          <w:szCs w:val="24"/>
        </w:rPr>
        <w:t>( 2007</w:t>
      </w:r>
      <w:proofErr w:type="gramEnd"/>
      <w:r w:rsidRPr="001133C0">
        <w:rPr>
          <w:rFonts w:eastAsia="Calibri" w:cstheme="minorHAnsi"/>
          <w:sz w:val="24"/>
          <w:szCs w:val="24"/>
        </w:rPr>
        <w:t xml:space="preserve">)(B). </w:t>
      </w:r>
      <w:r w:rsidRPr="001133C0">
        <w:rPr>
          <w:rFonts w:eastAsia="Calibri" w:cstheme="minorHAnsi"/>
          <w:i/>
          <w:sz w:val="24"/>
          <w:szCs w:val="24"/>
        </w:rPr>
        <w:t>Sustainability Primer</w:t>
      </w:r>
      <w:r w:rsidRPr="001133C0">
        <w:rPr>
          <w:rFonts w:eastAsia="Calibri" w:cstheme="minorHAnsi"/>
          <w:sz w:val="24"/>
          <w:szCs w:val="24"/>
        </w:rPr>
        <w:t>. Alexandria, VA.</w:t>
      </w:r>
    </w:p>
    <w:p w:rsidR="001B70B4" w:rsidRPr="001133C0" w:rsidRDefault="001B70B4" w:rsidP="001B70B4">
      <w:pPr>
        <w:rPr>
          <w:rFonts w:cstheme="minorHAnsi"/>
        </w:rPr>
      </w:pPr>
      <w:proofErr w:type="spellStart"/>
      <w:r w:rsidRPr="001133C0">
        <w:rPr>
          <w:rFonts w:cstheme="minorHAnsi"/>
        </w:rPr>
        <w:t>Grube</w:t>
      </w:r>
      <w:proofErr w:type="spellEnd"/>
      <w:r w:rsidRPr="001133C0">
        <w:rPr>
          <w:rFonts w:cstheme="minorHAnsi"/>
        </w:rPr>
        <w:t>, J.W. (1997)</w:t>
      </w:r>
      <w:r w:rsidRPr="001133C0">
        <w:rPr>
          <w:rFonts w:cstheme="minorHAnsi"/>
          <w:i/>
        </w:rPr>
        <w:t>. Preventing sales of alcohol to minors: Results from a community trial, Addiction, 92</w:t>
      </w:r>
      <w:r w:rsidRPr="001133C0">
        <w:rPr>
          <w:rFonts w:cstheme="minorHAnsi"/>
        </w:rPr>
        <w:t xml:space="preserve">(Supplement 2). </w:t>
      </w:r>
    </w:p>
    <w:p w:rsidR="001B70B4" w:rsidRPr="001133C0" w:rsidRDefault="001B70B4" w:rsidP="001B70B4">
      <w:pPr>
        <w:rPr>
          <w:rFonts w:cstheme="minorHAnsi"/>
        </w:rPr>
      </w:pPr>
      <w:r w:rsidRPr="001133C0">
        <w:rPr>
          <w:rFonts w:cstheme="minorHAnsi"/>
          <w:shd w:val="clear" w:color="auto" w:fill="FFFFFF"/>
        </w:rPr>
        <w:t xml:space="preserve">Holder, H. D., </w:t>
      </w:r>
      <w:proofErr w:type="spellStart"/>
      <w:r w:rsidRPr="001133C0">
        <w:rPr>
          <w:rFonts w:cstheme="minorHAnsi"/>
          <w:shd w:val="clear" w:color="auto" w:fill="FFFFFF"/>
        </w:rPr>
        <w:t>Saltz</w:t>
      </w:r>
      <w:proofErr w:type="spellEnd"/>
      <w:r w:rsidRPr="001133C0">
        <w:rPr>
          <w:rFonts w:cstheme="minorHAnsi"/>
          <w:shd w:val="clear" w:color="auto" w:fill="FFFFFF"/>
        </w:rPr>
        <w:t xml:space="preserve">, R. F., </w:t>
      </w:r>
      <w:proofErr w:type="spellStart"/>
      <w:r w:rsidRPr="001133C0">
        <w:rPr>
          <w:rFonts w:cstheme="minorHAnsi"/>
          <w:shd w:val="clear" w:color="auto" w:fill="FFFFFF"/>
        </w:rPr>
        <w:t>Grube</w:t>
      </w:r>
      <w:proofErr w:type="spellEnd"/>
      <w:r w:rsidRPr="001133C0">
        <w:rPr>
          <w:rFonts w:cstheme="minorHAnsi"/>
          <w:shd w:val="clear" w:color="auto" w:fill="FFFFFF"/>
        </w:rPr>
        <w:t xml:space="preserve">, J. W., </w:t>
      </w:r>
      <w:proofErr w:type="spellStart"/>
      <w:r w:rsidRPr="001133C0">
        <w:rPr>
          <w:rFonts w:cstheme="minorHAnsi"/>
          <w:shd w:val="clear" w:color="auto" w:fill="FFFFFF"/>
        </w:rPr>
        <w:t>Voas</w:t>
      </w:r>
      <w:proofErr w:type="spellEnd"/>
      <w:r w:rsidRPr="001133C0">
        <w:rPr>
          <w:rFonts w:cstheme="minorHAnsi"/>
          <w:shd w:val="clear" w:color="auto" w:fill="FFFFFF"/>
        </w:rPr>
        <w:t xml:space="preserve">, R. B., </w:t>
      </w:r>
      <w:proofErr w:type="spellStart"/>
      <w:r w:rsidRPr="001133C0">
        <w:rPr>
          <w:rFonts w:cstheme="minorHAnsi"/>
          <w:shd w:val="clear" w:color="auto" w:fill="FFFFFF"/>
        </w:rPr>
        <w:t>Gruenewald</w:t>
      </w:r>
      <w:proofErr w:type="spellEnd"/>
      <w:r w:rsidRPr="001133C0">
        <w:rPr>
          <w:rFonts w:cstheme="minorHAnsi"/>
          <w:shd w:val="clear" w:color="auto" w:fill="FFFFFF"/>
        </w:rPr>
        <w:t xml:space="preserve">, P. J. and </w:t>
      </w:r>
      <w:proofErr w:type="spellStart"/>
      <w:r w:rsidRPr="001133C0">
        <w:rPr>
          <w:rFonts w:cstheme="minorHAnsi"/>
          <w:shd w:val="clear" w:color="auto" w:fill="FFFFFF"/>
        </w:rPr>
        <w:t>Treno</w:t>
      </w:r>
      <w:proofErr w:type="spellEnd"/>
      <w:r w:rsidRPr="001133C0">
        <w:rPr>
          <w:rFonts w:cstheme="minorHAnsi"/>
          <w:shd w:val="clear" w:color="auto" w:fill="FFFFFF"/>
        </w:rPr>
        <w:t>, A. J. (1997). A community prevention trial to reduce alcohol-involved accidental injury and death: overview. Addiction, 92: 155–172. doi:10.1046/j.1360-0443.92.6s1.1.x.</w:t>
      </w:r>
    </w:p>
    <w:p w:rsidR="001B70B4" w:rsidRPr="001133C0" w:rsidRDefault="001B70B4" w:rsidP="001B70B4">
      <w:pPr>
        <w:rPr>
          <w:rFonts w:cstheme="minorHAnsi"/>
          <w:color w:val="000000" w:themeColor="text1"/>
        </w:rPr>
      </w:pPr>
      <w:proofErr w:type="gramStart"/>
      <w:r w:rsidRPr="001133C0">
        <w:rPr>
          <w:rFonts w:cstheme="minorHAnsi"/>
          <w:color w:val="000000" w:themeColor="text1"/>
        </w:rPr>
        <w:t>Oklahoma Department of Mental Health and Substance Abuse Services (ODMHSAS).</w:t>
      </w:r>
      <w:proofErr w:type="gramEnd"/>
      <w:r w:rsidRPr="001133C0">
        <w:rPr>
          <w:rFonts w:cstheme="minorHAnsi"/>
          <w:color w:val="000000" w:themeColor="text1"/>
        </w:rPr>
        <w:t xml:space="preserve"> </w:t>
      </w:r>
      <w:proofErr w:type="gramStart"/>
      <w:r w:rsidRPr="001133C0">
        <w:rPr>
          <w:rFonts w:cstheme="minorHAnsi"/>
          <w:color w:val="000000" w:themeColor="text1"/>
        </w:rPr>
        <w:t xml:space="preserve">(2011-2015). </w:t>
      </w:r>
      <w:r w:rsidRPr="001133C0">
        <w:rPr>
          <w:rFonts w:cstheme="minorHAnsi"/>
          <w:i/>
          <w:color w:val="000000" w:themeColor="text1"/>
        </w:rPr>
        <w:t>Statistics.</w:t>
      </w:r>
      <w:proofErr w:type="gramEnd"/>
      <w:r w:rsidRPr="001133C0">
        <w:rPr>
          <w:rFonts w:cstheme="minorHAnsi"/>
          <w:color w:val="000000" w:themeColor="text1"/>
        </w:rPr>
        <w:t xml:space="preserve"> Access: </w:t>
      </w:r>
      <w:hyperlink r:id="rId13" w:history="1">
        <w:r w:rsidRPr="001133C0">
          <w:rPr>
            <w:rStyle w:val="Hyperlink"/>
            <w:rFonts w:cstheme="minorHAnsi"/>
            <w:color w:val="000000" w:themeColor="text1"/>
          </w:rPr>
          <w:t>www.odmhsas.org/eda/advancedquery/advancedquery</w:t>
        </w:r>
      </w:hyperlink>
      <w:r w:rsidRPr="001133C0">
        <w:rPr>
          <w:rFonts w:cstheme="minorHAnsi"/>
          <w:color w:val="000000" w:themeColor="text1"/>
        </w:rPr>
        <w:t>.</w:t>
      </w:r>
      <w:r w:rsidRPr="001133C0">
        <w:rPr>
          <w:rFonts w:cstheme="minorHAnsi"/>
          <w:color w:val="000000" w:themeColor="text1"/>
        </w:rPr>
        <w:tab/>
      </w:r>
    </w:p>
    <w:p w:rsidR="001B70B4" w:rsidRPr="001133C0" w:rsidRDefault="001B70B4" w:rsidP="001B70B4">
      <w:pPr>
        <w:rPr>
          <w:rStyle w:val="Hyperlink"/>
          <w:rFonts w:cstheme="minorHAnsi"/>
          <w:color w:val="000000" w:themeColor="text1"/>
        </w:rPr>
      </w:pPr>
      <w:proofErr w:type="gramStart"/>
      <w:r w:rsidRPr="001133C0">
        <w:rPr>
          <w:rFonts w:cstheme="minorHAnsi"/>
          <w:color w:val="000000" w:themeColor="text1"/>
        </w:rPr>
        <w:t>ODMHSAS.</w:t>
      </w:r>
      <w:proofErr w:type="gramEnd"/>
      <w:r w:rsidRPr="001133C0">
        <w:rPr>
          <w:rFonts w:cstheme="minorHAnsi"/>
          <w:color w:val="000000" w:themeColor="text1"/>
        </w:rPr>
        <w:t xml:space="preserve"> </w:t>
      </w:r>
      <w:r w:rsidRPr="001133C0">
        <w:rPr>
          <w:rFonts w:cstheme="minorHAnsi"/>
          <w:i/>
          <w:color w:val="000000" w:themeColor="text1"/>
        </w:rPr>
        <w:t>Oklahoma Prevention Needs Assessment</w:t>
      </w:r>
      <w:r w:rsidRPr="001133C0">
        <w:rPr>
          <w:rFonts w:cstheme="minorHAnsi"/>
          <w:color w:val="000000" w:themeColor="text1"/>
        </w:rPr>
        <w:t xml:space="preserve">. (2010)(2014). Access: </w:t>
      </w:r>
      <w:hyperlink r:id="rId14" w:history="1">
        <w:r w:rsidRPr="001133C0">
          <w:rPr>
            <w:rStyle w:val="Hyperlink"/>
            <w:rFonts w:cstheme="minorHAnsi"/>
            <w:color w:val="000000" w:themeColor="text1"/>
          </w:rPr>
          <w:t>www.odmhsas.org/eda/advancedquery/advancedquery</w:t>
        </w:r>
      </w:hyperlink>
      <w:r w:rsidRPr="001133C0">
        <w:rPr>
          <w:rStyle w:val="Hyperlink"/>
          <w:rFonts w:cstheme="minorHAnsi"/>
          <w:color w:val="000000" w:themeColor="text1"/>
        </w:rPr>
        <w:t>.</w:t>
      </w:r>
    </w:p>
    <w:p w:rsidR="001B70B4" w:rsidRPr="001133C0" w:rsidRDefault="001B70B4" w:rsidP="001B70B4">
      <w:pPr>
        <w:rPr>
          <w:rStyle w:val="Hyperlink"/>
          <w:rFonts w:cstheme="minorHAnsi"/>
          <w:color w:val="000000" w:themeColor="text1"/>
        </w:rPr>
      </w:pPr>
      <w:proofErr w:type="gramStart"/>
      <w:r w:rsidRPr="001133C0">
        <w:rPr>
          <w:rFonts w:cstheme="minorHAnsi"/>
          <w:color w:val="000000" w:themeColor="text1"/>
        </w:rPr>
        <w:t xml:space="preserve">Oklahoma State Department of Health, </w:t>
      </w:r>
      <w:r w:rsidRPr="001133C0">
        <w:rPr>
          <w:rFonts w:cstheme="minorHAnsi"/>
          <w:i/>
          <w:color w:val="000000" w:themeColor="text1"/>
        </w:rPr>
        <w:t>Number of UP deaths by type of substance, Carter County</w:t>
      </w:r>
      <w:r w:rsidRPr="001133C0">
        <w:rPr>
          <w:rFonts w:cstheme="minorHAnsi"/>
          <w:color w:val="000000" w:themeColor="text1"/>
        </w:rPr>
        <w:t>, (2010-2014).</w:t>
      </w:r>
      <w:proofErr w:type="gramEnd"/>
      <w:r w:rsidRPr="001133C0">
        <w:rPr>
          <w:rFonts w:cstheme="minorHAnsi"/>
          <w:color w:val="000000" w:themeColor="text1"/>
        </w:rPr>
        <w:t xml:space="preserve"> Access: </w:t>
      </w:r>
      <w:hyperlink r:id="rId15" w:history="1">
        <w:r w:rsidRPr="001133C0">
          <w:rPr>
            <w:rStyle w:val="Hyperlink"/>
            <w:rFonts w:cstheme="minorHAnsi"/>
            <w:color w:val="000000" w:themeColor="text1"/>
          </w:rPr>
          <w:t>http://poison.health.ok.gov</w:t>
        </w:r>
      </w:hyperlink>
      <w:r w:rsidRPr="001133C0">
        <w:rPr>
          <w:rStyle w:val="Hyperlink"/>
          <w:rFonts w:cstheme="minorHAnsi"/>
          <w:color w:val="000000" w:themeColor="text1"/>
        </w:rPr>
        <w:t>.</w:t>
      </w:r>
    </w:p>
    <w:p w:rsidR="001B70B4" w:rsidRPr="001133C0" w:rsidRDefault="001B70B4" w:rsidP="001B70B4">
      <w:pPr>
        <w:rPr>
          <w:rStyle w:val="Hyperlink"/>
          <w:rFonts w:cstheme="minorHAnsi"/>
          <w:color w:val="000000" w:themeColor="text1"/>
        </w:rPr>
      </w:pPr>
      <w:proofErr w:type="gramStart"/>
      <w:r w:rsidRPr="001133C0">
        <w:rPr>
          <w:rFonts w:cstheme="minorHAnsi"/>
        </w:rPr>
        <w:t>PIRE (Pacific Institute for Research and Evaluation) (1999).</w:t>
      </w:r>
      <w:proofErr w:type="gramEnd"/>
      <w:r w:rsidRPr="001133C0">
        <w:rPr>
          <w:rFonts w:cstheme="minorHAnsi"/>
        </w:rPr>
        <w:t xml:space="preserve"> </w:t>
      </w:r>
      <w:proofErr w:type="gramStart"/>
      <w:r w:rsidRPr="001133C0">
        <w:rPr>
          <w:rFonts w:cstheme="minorHAnsi"/>
          <w:i/>
        </w:rPr>
        <w:t>The Costs of Underage Drinking</w:t>
      </w:r>
      <w:r w:rsidRPr="001133C0">
        <w:rPr>
          <w:rFonts w:cstheme="minorHAnsi"/>
        </w:rPr>
        <w:t>.</w:t>
      </w:r>
      <w:proofErr w:type="gramEnd"/>
      <w:r w:rsidRPr="001133C0">
        <w:rPr>
          <w:rFonts w:cstheme="minorHAnsi"/>
        </w:rPr>
        <w:t xml:space="preserve"> </w:t>
      </w:r>
      <w:proofErr w:type="gramStart"/>
      <w:r w:rsidRPr="001133C0">
        <w:rPr>
          <w:rFonts w:cstheme="minorHAnsi"/>
        </w:rPr>
        <w:t>Report written for the Office of Juvenile Justice and Delinquency Prevention, Rockville, Maryland.</w:t>
      </w:r>
      <w:proofErr w:type="gramEnd"/>
    </w:p>
    <w:p w:rsidR="001B70B4" w:rsidRPr="001133C0" w:rsidRDefault="001B70B4" w:rsidP="001B70B4">
      <w:pPr>
        <w:rPr>
          <w:rStyle w:val="Hyperlink"/>
          <w:rFonts w:eastAsia="Times New Roman" w:cstheme="minorHAnsi"/>
          <w:color w:val="auto"/>
          <w:u w:val="none"/>
        </w:rPr>
      </w:pPr>
      <w:r w:rsidRPr="001133C0">
        <w:rPr>
          <w:rStyle w:val="lookup-resultcontent"/>
          <w:rFonts w:cstheme="minorHAnsi"/>
          <w:i/>
        </w:rPr>
        <w:t>Quick Facts for Carter County, OK</w:t>
      </w:r>
      <w:r w:rsidRPr="001133C0">
        <w:rPr>
          <w:rStyle w:val="lookup-resultcontent"/>
          <w:rFonts w:cstheme="minorHAnsi"/>
        </w:rPr>
        <w:t>: Population estimates, July 1, 2015</w:t>
      </w:r>
      <w:proofErr w:type="gramStart"/>
      <w:r w:rsidRPr="001133C0">
        <w:rPr>
          <w:rStyle w:val="lookup-resultcontent"/>
          <w:rFonts w:cstheme="minorHAnsi"/>
        </w:rPr>
        <w:t>.(</w:t>
      </w:r>
      <w:proofErr w:type="gramEnd"/>
      <w:r w:rsidRPr="001133C0">
        <w:rPr>
          <w:rStyle w:val="lookup-resultcontent"/>
          <w:rFonts w:cstheme="minorHAnsi"/>
        </w:rPr>
        <w:t xml:space="preserve">2010). </w:t>
      </w:r>
      <w:proofErr w:type="gramStart"/>
      <w:r w:rsidRPr="001133C0">
        <w:rPr>
          <w:rStyle w:val="lookup-resultcontent"/>
          <w:rFonts w:cstheme="minorHAnsi"/>
        </w:rPr>
        <w:t>Retrieved October 24, 2016, from http://www.census.gov/quickfacts/table/PST045215/40019.</w:t>
      </w:r>
      <w:proofErr w:type="gramEnd"/>
    </w:p>
    <w:p w:rsidR="001B70B4" w:rsidRPr="001133C0" w:rsidRDefault="001B70B4" w:rsidP="001B70B4">
      <w:pPr>
        <w:spacing w:after="0" w:line="240" w:lineRule="auto"/>
        <w:rPr>
          <w:rFonts w:eastAsia="Times New Roman" w:cstheme="minorHAnsi"/>
        </w:rPr>
      </w:pPr>
      <w:proofErr w:type="gramStart"/>
      <w:r w:rsidRPr="001133C0">
        <w:rPr>
          <w:rFonts w:eastAsia="Times New Roman" w:cstheme="minorHAnsi"/>
        </w:rPr>
        <w:t>Reality Parties.</w:t>
      </w:r>
      <w:proofErr w:type="gramEnd"/>
      <w:r w:rsidRPr="001133C0">
        <w:rPr>
          <w:rFonts w:eastAsia="Times New Roman" w:cstheme="minorHAnsi"/>
        </w:rPr>
        <w:t xml:space="preserve"> (2016). Retrieved November 09, 2016, from http://straightupvc.org/realityparties/ </w:t>
      </w:r>
    </w:p>
    <w:p w:rsidR="001B70B4" w:rsidRPr="001133C0" w:rsidRDefault="001B70B4" w:rsidP="001B70B4">
      <w:pPr>
        <w:rPr>
          <w:rFonts w:cstheme="minorHAnsi"/>
          <w:shd w:val="clear" w:color="auto" w:fill="FFFFFF"/>
        </w:rPr>
      </w:pPr>
    </w:p>
    <w:p w:rsidR="001B70B4" w:rsidRPr="001133C0" w:rsidRDefault="001B70B4" w:rsidP="001B70B4">
      <w:pPr>
        <w:rPr>
          <w:rStyle w:val="Hyperlink"/>
          <w:rFonts w:eastAsia="Times New Roman" w:cstheme="minorHAnsi"/>
          <w:color w:val="000000" w:themeColor="text1"/>
        </w:rPr>
      </w:pPr>
      <w:proofErr w:type="gramStart"/>
      <w:r w:rsidRPr="001133C0">
        <w:rPr>
          <w:rFonts w:cstheme="minorHAnsi"/>
          <w:color w:val="000000" w:themeColor="text1"/>
          <w:shd w:val="clear" w:color="auto" w:fill="FFFFFF"/>
        </w:rPr>
        <w:lastRenderedPageBreak/>
        <w:t>United States Department of Health and Human Services.</w:t>
      </w:r>
      <w:proofErr w:type="gramEnd"/>
      <w:r w:rsidRPr="001133C0">
        <w:rPr>
          <w:rFonts w:cstheme="minorHAnsi"/>
          <w:color w:val="000000" w:themeColor="text1"/>
          <w:shd w:val="clear" w:color="auto" w:fill="FFFFFF"/>
        </w:rPr>
        <w:t xml:space="preserve"> </w:t>
      </w:r>
      <w:proofErr w:type="gramStart"/>
      <w:r w:rsidRPr="001133C0">
        <w:rPr>
          <w:rFonts w:cstheme="minorHAnsi"/>
          <w:color w:val="000000" w:themeColor="text1"/>
          <w:shd w:val="clear" w:color="auto" w:fill="FFFFFF"/>
        </w:rPr>
        <w:t>Substance Abuse and Mental Health Services Administration.</w:t>
      </w:r>
      <w:proofErr w:type="gramEnd"/>
      <w:r w:rsidRPr="001133C0">
        <w:rPr>
          <w:rFonts w:cstheme="minorHAnsi"/>
          <w:color w:val="000000" w:themeColor="text1"/>
          <w:shd w:val="clear" w:color="auto" w:fill="FFFFFF"/>
        </w:rPr>
        <w:t xml:space="preserve"> </w:t>
      </w:r>
      <w:proofErr w:type="gramStart"/>
      <w:r w:rsidRPr="001133C0">
        <w:rPr>
          <w:rFonts w:cstheme="minorHAnsi"/>
          <w:color w:val="000000" w:themeColor="text1"/>
          <w:shd w:val="clear" w:color="auto" w:fill="FFFFFF"/>
        </w:rPr>
        <w:t>Center for Behavioral Health Statistics and Quality.</w:t>
      </w:r>
      <w:proofErr w:type="gramEnd"/>
      <w:r w:rsidRPr="001133C0">
        <w:rPr>
          <w:rFonts w:cstheme="minorHAnsi"/>
          <w:color w:val="000000" w:themeColor="text1"/>
          <w:shd w:val="clear" w:color="auto" w:fill="FFFFFF"/>
        </w:rPr>
        <w:t xml:space="preserve"> </w:t>
      </w:r>
      <w:proofErr w:type="gramStart"/>
      <w:r w:rsidRPr="001133C0">
        <w:rPr>
          <w:rFonts w:cstheme="minorHAnsi"/>
          <w:i/>
          <w:color w:val="000000" w:themeColor="text1"/>
          <w:shd w:val="clear" w:color="auto" w:fill="FFFFFF"/>
        </w:rPr>
        <w:t>National Survey on Drug Use and Health</w:t>
      </w:r>
      <w:r w:rsidRPr="001133C0">
        <w:rPr>
          <w:rFonts w:cstheme="minorHAnsi"/>
          <w:color w:val="000000" w:themeColor="text1"/>
          <w:shd w:val="clear" w:color="auto" w:fill="FFFFFF"/>
        </w:rPr>
        <w:t>.</w:t>
      </w:r>
      <w:proofErr w:type="gramEnd"/>
      <w:r w:rsidRPr="001133C0">
        <w:rPr>
          <w:rFonts w:cstheme="minorHAnsi"/>
          <w:color w:val="000000" w:themeColor="text1"/>
          <w:shd w:val="clear" w:color="auto" w:fill="FFFFFF"/>
        </w:rPr>
        <w:t xml:space="preserve"> </w:t>
      </w:r>
      <w:proofErr w:type="gramStart"/>
      <w:r w:rsidRPr="001133C0">
        <w:rPr>
          <w:rFonts w:cstheme="minorHAnsi"/>
          <w:color w:val="000000" w:themeColor="text1"/>
          <w:shd w:val="clear" w:color="auto" w:fill="FFFFFF"/>
        </w:rPr>
        <w:t>(2013). ICPSR35509-v3.</w:t>
      </w:r>
      <w:proofErr w:type="gramEnd"/>
      <w:r w:rsidRPr="001133C0">
        <w:rPr>
          <w:rFonts w:cstheme="minorHAnsi"/>
          <w:color w:val="000000" w:themeColor="text1"/>
          <w:shd w:val="clear" w:color="auto" w:fill="FFFFFF"/>
        </w:rPr>
        <w:t xml:space="preserve"> Ann Arbor, MI: Inter-university Consortium for Political and Social Research [distributor], 2015-11-23. http://doi.org/10.3886/ICPSR35509.v3.</w:t>
      </w:r>
    </w:p>
    <w:p w:rsidR="001B70B4" w:rsidRPr="001133C0" w:rsidRDefault="001B70B4" w:rsidP="001B70B4">
      <w:pPr>
        <w:shd w:val="clear" w:color="auto" w:fill="FFFFFF" w:themeFill="background1"/>
        <w:autoSpaceDE w:val="0"/>
        <w:autoSpaceDN w:val="0"/>
        <w:adjustRightInd w:val="0"/>
        <w:jc w:val="both"/>
        <w:rPr>
          <w:rFonts w:cstheme="minorHAnsi"/>
        </w:rPr>
      </w:pPr>
      <w:proofErr w:type="gramStart"/>
      <w:r w:rsidRPr="001133C0">
        <w:rPr>
          <w:rFonts w:cstheme="minorHAnsi"/>
          <w:color w:val="000000" w:themeColor="text1"/>
          <w:shd w:val="clear" w:color="auto" w:fill="FFFFFF"/>
        </w:rPr>
        <w:t>United States Department of Health and Human Services.</w:t>
      </w:r>
      <w:proofErr w:type="gramEnd"/>
      <w:r w:rsidRPr="001133C0">
        <w:rPr>
          <w:rFonts w:cstheme="minorHAnsi"/>
          <w:color w:val="000000" w:themeColor="text1"/>
          <w:shd w:val="clear" w:color="auto" w:fill="FFFFFF"/>
        </w:rPr>
        <w:t xml:space="preserve"> </w:t>
      </w:r>
      <w:proofErr w:type="gramStart"/>
      <w:r w:rsidRPr="001133C0">
        <w:rPr>
          <w:rFonts w:cstheme="minorHAnsi"/>
          <w:color w:val="000000" w:themeColor="text1"/>
          <w:shd w:val="clear" w:color="auto" w:fill="FFFFFF"/>
        </w:rPr>
        <w:t>Substance Abuse and Mental Health Services Administration.</w:t>
      </w:r>
      <w:proofErr w:type="gramEnd"/>
      <w:r w:rsidRPr="001133C0">
        <w:rPr>
          <w:rFonts w:cstheme="minorHAnsi"/>
          <w:color w:val="000000" w:themeColor="text1"/>
          <w:shd w:val="clear" w:color="auto" w:fill="FFFFFF"/>
        </w:rPr>
        <w:t xml:space="preserve"> </w:t>
      </w:r>
      <w:proofErr w:type="gramStart"/>
      <w:r w:rsidRPr="001133C0">
        <w:rPr>
          <w:rFonts w:cstheme="minorHAnsi"/>
          <w:color w:val="000000" w:themeColor="text1"/>
          <w:shd w:val="clear" w:color="auto" w:fill="FFFFFF"/>
        </w:rPr>
        <w:t>Center for Behavioral Health Statistics and Quality.</w:t>
      </w:r>
      <w:proofErr w:type="gramEnd"/>
      <w:r w:rsidRPr="001133C0">
        <w:rPr>
          <w:rFonts w:cstheme="minorHAnsi"/>
          <w:color w:val="000000" w:themeColor="text1"/>
          <w:shd w:val="clear" w:color="auto" w:fill="FFFFFF"/>
        </w:rPr>
        <w:t xml:space="preserve"> </w:t>
      </w:r>
      <w:proofErr w:type="gramStart"/>
      <w:r w:rsidRPr="001133C0">
        <w:rPr>
          <w:rFonts w:cstheme="minorHAnsi"/>
          <w:i/>
          <w:color w:val="000000" w:themeColor="text1"/>
          <w:shd w:val="clear" w:color="auto" w:fill="FFFFFF"/>
        </w:rPr>
        <w:t>National Survey on Drug Use and Health.</w:t>
      </w:r>
      <w:proofErr w:type="gramEnd"/>
      <w:r w:rsidRPr="001133C0">
        <w:rPr>
          <w:rFonts w:cstheme="minorHAnsi"/>
          <w:color w:val="000000" w:themeColor="text1"/>
          <w:shd w:val="clear" w:color="auto" w:fill="FFFFFF"/>
        </w:rPr>
        <w:t xml:space="preserve"> </w:t>
      </w:r>
      <w:proofErr w:type="gramStart"/>
      <w:r w:rsidRPr="001133C0">
        <w:rPr>
          <w:rFonts w:cstheme="minorHAnsi"/>
          <w:color w:val="000000" w:themeColor="text1"/>
          <w:shd w:val="clear" w:color="auto" w:fill="FFFFFF"/>
        </w:rPr>
        <w:t>(2014). ICPSR36361-v1.</w:t>
      </w:r>
      <w:proofErr w:type="gramEnd"/>
      <w:r w:rsidRPr="001133C0">
        <w:rPr>
          <w:rFonts w:cstheme="minorHAnsi"/>
          <w:color w:val="000000" w:themeColor="text1"/>
          <w:shd w:val="clear" w:color="auto" w:fill="FFFFFF"/>
        </w:rPr>
        <w:t xml:space="preserve"> Ann Arbor, MI: Inter-university Consortium for Political and Social Research [distributor], 2016-03-22. http://doi.org/10.3886/ICPSR36361.v1.</w:t>
      </w:r>
    </w:p>
    <w:p w:rsidR="001B70B4" w:rsidRPr="001133C0" w:rsidRDefault="001B70B4" w:rsidP="001B70B4">
      <w:pPr>
        <w:rPr>
          <w:rFonts w:cstheme="minorHAnsi"/>
        </w:rPr>
      </w:pPr>
      <w:proofErr w:type="gramStart"/>
      <w:r w:rsidRPr="001133C0">
        <w:rPr>
          <w:rFonts w:cstheme="minorHAnsi"/>
        </w:rPr>
        <w:t>U.S. Department of Justice, Federal Bureau of Investigation.</w:t>
      </w:r>
      <w:proofErr w:type="gramEnd"/>
      <w:r w:rsidRPr="001133C0">
        <w:rPr>
          <w:rFonts w:cstheme="minorHAnsi"/>
        </w:rPr>
        <w:t xml:space="preserve"> </w:t>
      </w:r>
      <w:proofErr w:type="gramStart"/>
      <w:r w:rsidRPr="001133C0">
        <w:rPr>
          <w:rFonts w:cstheme="minorHAnsi"/>
        </w:rPr>
        <w:t>Uniform Crime Reporting Program Data, 2010-2014.</w:t>
      </w:r>
      <w:proofErr w:type="gramEnd"/>
    </w:p>
    <w:p w:rsidR="001B70B4" w:rsidRPr="001133C0" w:rsidRDefault="001B70B4" w:rsidP="001B70B4">
      <w:pPr>
        <w:rPr>
          <w:rFonts w:cstheme="minorHAnsi"/>
        </w:rPr>
      </w:pPr>
      <w:r w:rsidRPr="001133C0">
        <w:rPr>
          <w:rStyle w:val="lookup-resultcontent"/>
          <w:rFonts w:cstheme="minorHAnsi"/>
        </w:rPr>
        <w:t>Wilcox, S. (2016).</w:t>
      </w:r>
      <w:r w:rsidRPr="001133C0">
        <w:rPr>
          <w:rStyle w:val="apple-converted-space"/>
          <w:rFonts w:cstheme="minorHAnsi"/>
        </w:rPr>
        <w:t> </w:t>
      </w:r>
      <w:proofErr w:type="gramStart"/>
      <w:r w:rsidRPr="001133C0">
        <w:rPr>
          <w:rStyle w:val="lookup-resultcontent"/>
          <w:rFonts w:cstheme="minorHAnsi"/>
          <w:i/>
          <w:iCs/>
        </w:rPr>
        <w:t>Alcohol, drugs and crime</w:t>
      </w:r>
      <w:r w:rsidRPr="001133C0">
        <w:rPr>
          <w:rStyle w:val="lookup-resultcontent"/>
          <w:rFonts w:cstheme="minorHAnsi"/>
        </w:rPr>
        <w:t>.</w:t>
      </w:r>
      <w:proofErr w:type="gramEnd"/>
      <w:r w:rsidRPr="001133C0">
        <w:rPr>
          <w:rStyle w:val="lookup-resultcontent"/>
          <w:rFonts w:cstheme="minorHAnsi"/>
        </w:rPr>
        <w:t xml:space="preserve"> </w:t>
      </w:r>
      <w:proofErr w:type="gramStart"/>
      <w:r w:rsidRPr="001133C0">
        <w:rPr>
          <w:rStyle w:val="lookup-resultcontent"/>
          <w:rFonts w:cstheme="minorHAnsi"/>
        </w:rPr>
        <w:t>Retrieved September 8, 2016, from National Council on Alcoholism and Drug Dependence, https://www.ncadd.org/about-addiction/alcohol-drugs-and-crime.</w:t>
      </w:r>
      <w:proofErr w:type="gramEnd"/>
    </w:p>
    <w:p w:rsidR="001237B1" w:rsidRDefault="001237B1"/>
    <w:sectPr w:rsidR="001237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C5" w:rsidRDefault="001200C5" w:rsidP="006731AC">
      <w:pPr>
        <w:spacing w:after="0" w:line="240" w:lineRule="auto"/>
      </w:pPr>
      <w:r>
        <w:separator/>
      </w:r>
    </w:p>
  </w:endnote>
  <w:endnote w:type="continuationSeparator" w:id="0">
    <w:p w:rsidR="001200C5" w:rsidRDefault="001200C5" w:rsidP="0067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C5" w:rsidRDefault="001200C5" w:rsidP="006731AC">
      <w:pPr>
        <w:spacing w:after="0" w:line="240" w:lineRule="auto"/>
      </w:pPr>
      <w:r>
        <w:separator/>
      </w:r>
    </w:p>
  </w:footnote>
  <w:footnote w:type="continuationSeparator" w:id="0">
    <w:p w:rsidR="001200C5" w:rsidRDefault="001200C5" w:rsidP="006731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687"/>
    <w:multiLevelType w:val="hybridMultilevel"/>
    <w:tmpl w:val="0C1604BC"/>
    <w:lvl w:ilvl="0" w:tplc="20A248D2">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4F1E23"/>
    <w:multiLevelType w:val="hybridMultilevel"/>
    <w:tmpl w:val="5FC80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611ED"/>
    <w:multiLevelType w:val="hybridMultilevel"/>
    <w:tmpl w:val="835E54EA"/>
    <w:lvl w:ilvl="0" w:tplc="011493B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A5581"/>
    <w:multiLevelType w:val="hybridMultilevel"/>
    <w:tmpl w:val="E46830A8"/>
    <w:lvl w:ilvl="0" w:tplc="9930620C">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7E36B0"/>
    <w:multiLevelType w:val="hybridMultilevel"/>
    <w:tmpl w:val="AE26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F0EE7"/>
    <w:multiLevelType w:val="hybridMultilevel"/>
    <w:tmpl w:val="C41C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55985"/>
    <w:multiLevelType w:val="hybridMultilevel"/>
    <w:tmpl w:val="3398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01BCA"/>
    <w:multiLevelType w:val="hybridMultilevel"/>
    <w:tmpl w:val="7D2A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97F3F"/>
    <w:multiLevelType w:val="hybridMultilevel"/>
    <w:tmpl w:val="CF4E8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EA0874"/>
    <w:multiLevelType w:val="hybridMultilevel"/>
    <w:tmpl w:val="840E80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B6A3F7C">
      <w:start w:val="1"/>
      <w:numFmt w:val="lowerLetter"/>
      <w:lvlText w:val="%3)"/>
      <w:lvlJc w:val="left"/>
      <w:pPr>
        <w:ind w:left="2340" w:hanging="360"/>
      </w:pPr>
      <w:rPr>
        <w:rFonts w:asciiTheme="minorHAnsi" w:hAnsiTheme="minorHAns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516C1"/>
    <w:multiLevelType w:val="hybridMultilevel"/>
    <w:tmpl w:val="A162A50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E0F66"/>
    <w:multiLevelType w:val="hybridMultilevel"/>
    <w:tmpl w:val="D4A6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A7B82"/>
    <w:multiLevelType w:val="hybridMultilevel"/>
    <w:tmpl w:val="5734D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084141A"/>
    <w:multiLevelType w:val="hybridMultilevel"/>
    <w:tmpl w:val="D58A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2074B"/>
    <w:multiLevelType w:val="hybridMultilevel"/>
    <w:tmpl w:val="F2EAC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580D4B"/>
    <w:multiLevelType w:val="hybridMultilevel"/>
    <w:tmpl w:val="533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82617"/>
    <w:multiLevelType w:val="hybridMultilevel"/>
    <w:tmpl w:val="20D01D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A87CDA"/>
    <w:multiLevelType w:val="hybridMultilevel"/>
    <w:tmpl w:val="43AEDDDA"/>
    <w:lvl w:ilvl="0" w:tplc="AC1A165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120A2B"/>
    <w:multiLevelType w:val="hybridMultilevel"/>
    <w:tmpl w:val="AE241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3431D9"/>
    <w:multiLevelType w:val="hybridMultilevel"/>
    <w:tmpl w:val="FFD2A8A8"/>
    <w:lvl w:ilvl="0" w:tplc="D0E46A38">
      <w:start w:val="1"/>
      <w:numFmt w:val="bullet"/>
      <w:lvlText w:val="•"/>
      <w:lvlJc w:val="left"/>
      <w:pPr>
        <w:tabs>
          <w:tab w:val="num" w:pos="720"/>
        </w:tabs>
        <w:ind w:left="720" w:hanging="360"/>
      </w:pPr>
      <w:rPr>
        <w:rFonts w:ascii="Times New Roman" w:hAnsi="Times New Roman" w:hint="default"/>
      </w:rPr>
    </w:lvl>
    <w:lvl w:ilvl="1" w:tplc="4648B8A0" w:tentative="1">
      <w:start w:val="1"/>
      <w:numFmt w:val="bullet"/>
      <w:lvlText w:val="•"/>
      <w:lvlJc w:val="left"/>
      <w:pPr>
        <w:tabs>
          <w:tab w:val="num" w:pos="1440"/>
        </w:tabs>
        <w:ind w:left="1440" w:hanging="360"/>
      </w:pPr>
      <w:rPr>
        <w:rFonts w:ascii="Times New Roman" w:hAnsi="Times New Roman" w:hint="default"/>
      </w:rPr>
    </w:lvl>
    <w:lvl w:ilvl="2" w:tplc="409C0E04" w:tentative="1">
      <w:start w:val="1"/>
      <w:numFmt w:val="bullet"/>
      <w:lvlText w:val="•"/>
      <w:lvlJc w:val="left"/>
      <w:pPr>
        <w:tabs>
          <w:tab w:val="num" w:pos="2160"/>
        </w:tabs>
        <w:ind w:left="2160" w:hanging="360"/>
      </w:pPr>
      <w:rPr>
        <w:rFonts w:ascii="Times New Roman" w:hAnsi="Times New Roman" w:hint="default"/>
      </w:rPr>
    </w:lvl>
    <w:lvl w:ilvl="3" w:tplc="EE224D28" w:tentative="1">
      <w:start w:val="1"/>
      <w:numFmt w:val="bullet"/>
      <w:lvlText w:val="•"/>
      <w:lvlJc w:val="left"/>
      <w:pPr>
        <w:tabs>
          <w:tab w:val="num" w:pos="2880"/>
        </w:tabs>
        <w:ind w:left="2880" w:hanging="360"/>
      </w:pPr>
      <w:rPr>
        <w:rFonts w:ascii="Times New Roman" w:hAnsi="Times New Roman" w:hint="default"/>
      </w:rPr>
    </w:lvl>
    <w:lvl w:ilvl="4" w:tplc="4BEAD9C4" w:tentative="1">
      <w:start w:val="1"/>
      <w:numFmt w:val="bullet"/>
      <w:lvlText w:val="•"/>
      <w:lvlJc w:val="left"/>
      <w:pPr>
        <w:tabs>
          <w:tab w:val="num" w:pos="3600"/>
        </w:tabs>
        <w:ind w:left="3600" w:hanging="360"/>
      </w:pPr>
      <w:rPr>
        <w:rFonts w:ascii="Times New Roman" w:hAnsi="Times New Roman" w:hint="default"/>
      </w:rPr>
    </w:lvl>
    <w:lvl w:ilvl="5" w:tplc="DF2409B6" w:tentative="1">
      <w:start w:val="1"/>
      <w:numFmt w:val="bullet"/>
      <w:lvlText w:val="•"/>
      <w:lvlJc w:val="left"/>
      <w:pPr>
        <w:tabs>
          <w:tab w:val="num" w:pos="4320"/>
        </w:tabs>
        <w:ind w:left="4320" w:hanging="360"/>
      </w:pPr>
      <w:rPr>
        <w:rFonts w:ascii="Times New Roman" w:hAnsi="Times New Roman" w:hint="default"/>
      </w:rPr>
    </w:lvl>
    <w:lvl w:ilvl="6" w:tplc="E286C5C6" w:tentative="1">
      <w:start w:val="1"/>
      <w:numFmt w:val="bullet"/>
      <w:lvlText w:val="•"/>
      <w:lvlJc w:val="left"/>
      <w:pPr>
        <w:tabs>
          <w:tab w:val="num" w:pos="5040"/>
        </w:tabs>
        <w:ind w:left="5040" w:hanging="360"/>
      </w:pPr>
      <w:rPr>
        <w:rFonts w:ascii="Times New Roman" w:hAnsi="Times New Roman" w:hint="default"/>
      </w:rPr>
    </w:lvl>
    <w:lvl w:ilvl="7" w:tplc="C0BC5C8C" w:tentative="1">
      <w:start w:val="1"/>
      <w:numFmt w:val="bullet"/>
      <w:lvlText w:val="•"/>
      <w:lvlJc w:val="left"/>
      <w:pPr>
        <w:tabs>
          <w:tab w:val="num" w:pos="5760"/>
        </w:tabs>
        <w:ind w:left="5760" w:hanging="360"/>
      </w:pPr>
      <w:rPr>
        <w:rFonts w:ascii="Times New Roman" w:hAnsi="Times New Roman" w:hint="default"/>
      </w:rPr>
    </w:lvl>
    <w:lvl w:ilvl="8" w:tplc="DABC08A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EDD6674"/>
    <w:multiLevelType w:val="hybridMultilevel"/>
    <w:tmpl w:val="01E29602"/>
    <w:lvl w:ilvl="0" w:tplc="35AC817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61211E"/>
    <w:multiLevelType w:val="hybridMultilevel"/>
    <w:tmpl w:val="54E66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7B4B00"/>
    <w:multiLevelType w:val="hybridMultilevel"/>
    <w:tmpl w:val="B04843C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D6346E"/>
    <w:multiLevelType w:val="hybridMultilevel"/>
    <w:tmpl w:val="8CAA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A469B5"/>
    <w:multiLevelType w:val="hybridMultilevel"/>
    <w:tmpl w:val="226A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CD02DA"/>
    <w:multiLevelType w:val="hybridMultilevel"/>
    <w:tmpl w:val="57E2CB1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D8751C"/>
    <w:multiLevelType w:val="hybridMultilevel"/>
    <w:tmpl w:val="1DD25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703516"/>
    <w:multiLevelType w:val="hybridMultilevel"/>
    <w:tmpl w:val="173C98D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D146DB"/>
    <w:multiLevelType w:val="hybridMultilevel"/>
    <w:tmpl w:val="46A6A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2355B3"/>
    <w:multiLevelType w:val="hybridMultilevel"/>
    <w:tmpl w:val="0AE8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CC69E3"/>
    <w:multiLevelType w:val="hybridMultilevel"/>
    <w:tmpl w:val="45A8A82A"/>
    <w:lvl w:ilvl="0" w:tplc="CAC0D1EA">
      <w:start w:val="1"/>
      <w:numFmt w:val="decimal"/>
      <w:lvlText w:val="%1."/>
      <w:lvlJc w:val="left"/>
      <w:pPr>
        <w:ind w:left="1080" w:hanging="720"/>
      </w:pPr>
      <w:rPr>
        <w:rFonts w:hint="default"/>
        <w:b/>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722392"/>
    <w:multiLevelType w:val="hybridMultilevel"/>
    <w:tmpl w:val="C894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323099"/>
    <w:multiLevelType w:val="hybridMultilevel"/>
    <w:tmpl w:val="B582EB10"/>
    <w:lvl w:ilvl="0" w:tplc="27D09B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1800DF"/>
    <w:multiLevelType w:val="hybridMultilevel"/>
    <w:tmpl w:val="1AE2D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D77108C"/>
    <w:multiLevelType w:val="hybridMultilevel"/>
    <w:tmpl w:val="13EC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6831ED"/>
    <w:multiLevelType w:val="hybridMultilevel"/>
    <w:tmpl w:val="0A303548"/>
    <w:lvl w:ilvl="0" w:tplc="04090011">
      <w:start w:val="1"/>
      <w:numFmt w:val="decimal"/>
      <w:lvlText w:val="%1)"/>
      <w:lvlJc w:val="left"/>
      <w:pPr>
        <w:ind w:left="630" w:hanging="360"/>
      </w:pPr>
      <w:rPr>
        <w:rFonts w:hint="default"/>
      </w:rPr>
    </w:lvl>
    <w:lvl w:ilvl="1" w:tplc="96C6AA28">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num>
  <w:num w:numId="3">
    <w:abstractNumId w:val="11"/>
  </w:num>
  <w:num w:numId="4">
    <w:abstractNumId w:val="5"/>
  </w:num>
  <w:num w:numId="5">
    <w:abstractNumId w:val="31"/>
  </w:num>
  <w:num w:numId="6">
    <w:abstractNumId w:val="15"/>
  </w:num>
  <w:num w:numId="7">
    <w:abstractNumId w:val="17"/>
  </w:num>
  <w:num w:numId="8">
    <w:abstractNumId w:val="4"/>
  </w:num>
  <w:num w:numId="9">
    <w:abstractNumId w:val="7"/>
  </w:num>
  <w:num w:numId="10">
    <w:abstractNumId w:val="34"/>
  </w:num>
  <w:num w:numId="11">
    <w:abstractNumId w:val="9"/>
  </w:num>
  <w:num w:numId="12">
    <w:abstractNumId w:val="2"/>
  </w:num>
  <w:num w:numId="13">
    <w:abstractNumId w:val="23"/>
  </w:num>
  <w:num w:numId="14">
    <w:abstractNumId w:val="32"/>
  </w:num>
  <w:num w:numId="15">
    <w:abstractNumId w:val="3"/>
  </w:num>
  <w:num w:numId="16">
    <w:abstractNumId w:val="8"/>
  </w:num>
  <w:num w:numId="17">
    <w:abstractNumId w:val="33"/>
  </w:num>
  <w:num w:numId="18">
    <w:abstractNumId w:val="29"/>
  </w:num>
  <w:num w:numId="19">
    <w:abstractNumId w:val="18"/>
  </w:num>
  <w:num w:numId="20">
    <w:abstractNumId w:val="24"/>
  </w:num>
  <w:num w:numId="21">
    <w:abstractNumId w:val="21"/>
  </w:num>
  <w:num w:numId="22">
    <w:abstractNumId w:val="13"/>
  </w:num>
  <w:num w:numId="23">
    <w:abstractNumId w:val="19"/>
  </w:num>
  <w:num w:numId="24">
    <w:abstractNumId w:val="0"/>
  </w:num>
  <w:num w:numId="25">
    <w:abstractNumId w:val="14"/>
  </w:num>
  <w:num w:numId="26">
    <w:abstractNumId w:val="16"/>
  </w:num>
  <w:num w:numId="27">
    <w:abstractNumId w:val="20"/>
  </w:num>
  <w:num w:numId="28">
    <w:abstractNumId w:val="12"/>
  </w:num>
  <w:num w:numId="29">
    <w:abstractNumId w:val="35"/>
  </w:num>
  <w:num w:numId="30">
    <w:abstractNumId w:val="10"/>
  </w:num>
  <w:num w:numId="31">
    <w:abstractNumId w:val="27"/>
  </w:num>
  <w:num w:numId="32">
    <w:abstractNumId w:val="26"/>
  </w:num>
  <w:num w:numId="33">
    <w:abstractNumId w:val="22"/>
  </w:num>
  <w:num w:numId="34">
    <w:abstractNumId w:val="25"/>
  </w:num>
  <w:num w:numId="35">
    <w:abstractNumId w:val="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B4"/>
    <w:rsid w:val="000043E2"/>
    <w:rsid w:val="000067D2"/>
    <w:rsid w:val="00011750"/>
    <w:rsid w:val="00046610"/>
    <w:rsid w:val="00081645"/>
    <w:rsid w:val="00084939"/>
    <w:rsid w:val="000B2C31"/>
    <w:rsid w:val="000F08D3"/>
    <w:rsid w:val="000F1AF4"/>
    <w:rsid w:val="00103372"/>
    <w:rsid w:val="0010510C"/>
    <w:rsid w:val="001200C5"/>
    <w:rsid w:val="001237B1"/>
    <w:rsid w:val="001313C2"/>
    <w:rsid w:val="00156BA3"/>
    <w:rsid w:val="00175547"/>
    <w:rsid w:val="001B572A"/>
    <w:rsid w:val="001B70B4"/>
    <w:rsid w:val="001F0E42"/>
    <w:rsid w:val="00207FEA"/>
    <w:rsid w:val="0023078D"/>
    <w:rsid w:val="002842F6"/>
    <w:rsid w:val="002929EA"/>
    <w:rsid w:val="002A0F99"/>
    <w:rsid w:val="002C4A29"/>
    <w:rsid w:val="002C584B"/>
    <w:rsid w:val="002E10A3"/>
    <w:rsid w:val="002E73EF"/>
    <w:rsid w:val="0030408A"/>
    <w:rsid w:val="00310CD3"/>
    <w:rsid w:val="00316D31"/>
    <w:rsid w:val="00316EBB"/>
    <w:rsid w:val="00367D27"/>
    <w:rsid w:val="00384ACB"/>
    <w:rsid w:val="003875F0"/>
    <w:rsid w:val="00387CE2"/>
    <w:rsid w:val="003B064E"/>
    <w:rsid w:val="003B121A"/>
    <w:rsid w:val="003B2A86"/>
    <w:rsid w:val="003C0BDF"/>
    <w:rsid w:val="003D10E0"/>
    <w:rsid w:val="003D1CF2"/>
    <w:rsid w:val="003F3456"/>
    <w:rsid w:val="003F66A3"/>
    <w:rsid w:val="003F7A85"/>
    <w:rsid w:val="00400FDD"/>
    <w:rsid w:val="00463AB7"/>
    <w:rsid w:val="0048394E"/>
    <w:rsid w:val="004A1E54"/>
    <w:rsid w:val="004A3484"/>
    <w:rsid w:val="004E3801"/>
    <w:rsid w:val="004E7956"/>
    <w:rsid w:val="004F532D"/>
    <w:rsid w:val="00502219"/>
    <w:rsid w:val="00542FB6"/>
    <w:rsid w:val="00543AF1"/>
    <w:rsid w:val="00545D32"/>
    <w:rsid w:val="00546F55"/>
    <w:rsid w:val="00547ED6"/>
    <w:rsid w:val="00570E1A"/>
    <w:rsid w:val="0059187D"/>
    <w:rsid w:val="00594B85"/>
    <w:rsid w:val="005A6820"/>
    <w:rsid w:val="005B562C"/>
    <w:rsid w:val="005C1D0D"/>
    <w:rsid w:val="005F078B"/>
    <w:rsid w:val="005F0AF5"/>
    <w:rsid w:val="00607315"/>
    <w:rsid w:val="006555A1"/>
    <w:rsid w:val="00670908"/>
    <w:rsid w:val="00671DD2"/>
    <w:rsid w:val="006731AC"/>
    <w:rsid w:val="00693B4C"/>
    <w:rsid w:val="006B39E3"/>
    <w:rsid w:val="006C0467"/>
    <w:rsid w:val="006C06CB"/>
    <w:rsid w:val="006C2857"/>
    <w:rsid w:val="006E46A4"/>
    <w:rsid w:val="006E6DAD"/>
    <w:rsid w:val="0071113B"/>
    <w:rsid w:val="00721AF1"/>
    <w:rsid w:val="00780278"/>
    <w:rsid w:val="007A0579"/>
    <w:rsid w:val="007C297D"/>
    <w:rsid w:val="007D23D9"/>
    <w:rsid w:val="007F5E30"/>
    <w:rsid w:val="007F7EF5"/>
    <w:rsid w:val="00803CE0"/>
    <w:rsid w:val="0080719B"/>
    <w:rsid w:val="0081353E"/>
    <w:rsid w:val="008148C4"/>
    <w:rsid w:val="00820083"/>
    <w:rsid w:val="0083187B"/>
    <w:rsid w:val="0083664E"/>
    <w:rsid w:val="008563A3"/>
    <w:rsid w:val="008817C2"/>
    <w:rsid w:val="008A60A8"/>
    <w:rsid w:val="008F70E5"/>
    <w:rsid w:val="009526BB"/>
    <w:rsid w:val="009767A7"/>
    <w:rsid w:val="009A673E"/>
    <w:rsid w:val="009B048C"/>
    <w:rsid w:val="009D0D45"/>
    <w:rsid w:val="00A00D33"/>
    <w:rsid w:val="00A12DD1"/>
    <w:rsid w:val="00A25EC9"/>
    <w:rsid w:val="00A44810"/>
    <w:rsid w:val="00A7488F"/>
    <w:rsid w:val="00AA2498"/>
    <w:rsid w:val="00AF3CE3"/>
    <w:rsid w:val="00B033F6"/>
    <w:rsid w:val="00B1017B"/>
    <w:rsid w:val="00B126C6"/>
    <w:rsid w:val="00B22F86"/>
    <w:rsid w:val="00B23C18"/>
    <w:rsid w:val="00B46605"/>
    <w:rsid w:val="00B5618E"/>
    <w:rsid w:val="00B73450"/>
    <w:rsid w:val="00B83ACE"/>
    <w:rsid w:val="00B86010"/>
    <w:rsid w:val="00BE7D81"/>
    <w:rsid w:val="00C66F7A"/>
    <w:rsid w:val="00C70BC9"/>
    <w:rsid w:val="00CB0588"/>
    <w:rsid w:val="00D13E56"/>
    <w:rsid w:val="00D31B9C"/>
    <w:rsid w:val="00D6207C"/>
    <w:rsid w:val="00D74A35"/>
    <w:rsid w:val="00DA66BD"/>
    <w:rsid w:val="00DC5D19"/>
    <w:rsid w:val="00DD4352"/>
    <w:rsid w:val="00DE7B66"/>
    <w:rsid w:val="00DF2B86"/>
    <w:rsid w:val="00E141A0"/>
    <w:rsid w:val="00E16EE7"/>
    <w:rsid w:val="00E251B9"/>
    <w:rsid w:val="00E52F59"/>
    <w:rsid w:val="00E92F70"/>
    <w:rsid w:val="00EA2B6E"/>
    <w:rsid w:val="00EB3E3A"/>
    <w:rsid w:val="00EC59BF"/>
    <w:rsid w:val="00F07F1E"/>
    <w:rsid w:val="00F237F2"/>
    <w:rsid w:val="00F455A6"/>
    <w:rsid w:val="00F53208"/>
    <w:rsid w:val="00F6565D"/>
    <w:rsid w:val="00F70584"/>
    <w:rsid w:val="00F76887"/>
    <w:rsid w:val="00F814DB"/>
    <w:rsid w:val="00FA3A8C"/>
    <w:rsid w:val="00FC1BA8"/>
    <w:rsid w:val="00FC7ABD"/>
    <w:rsid w:val="00FE7CC1"/>
    <w:rsid w:val="00FF2AC8"/>
    <w:rsid w:val="00FF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11">
    <w:name w:val="Medium Shading 111"/>
    <w:basedOn w:val="TableNormal"/>
    <w:uiPriority w:val="63"/>
    <w:rsid w:val="001B70B4"/>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1B70B4"/>
    <w:rPr>
      <w:color w:val="0000FF"/>
      <w:u w:val="single"/>
    </w:rPr>
  </w:style>
  <w:style w:type="paragraph" w:styleId="BalloonText">
    <w:name w:val="Balloon Text"/>
    <w:basedOn w:val="Normal"/>
    <w:link w:val="BalloonTextChar"/>
    <w:uiPriority w:val="99"/>
    <w:semiHidden/>
    <w:unhideWhenUsed/>
    <w:rsid w:val="001B7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B4"/>
    <w:rPr>
      <w:rFonts w:ascii="Tahoma" w:hAnsi="Tahoma" w:cs="Tahoma"/>
      <w:sz w:val="16"/>
      <w:szCs w:val="16"/>
    </w:rPr>
  </w:style>
  <w:style w:type="paragraph" w:styleId="ListParagraph">
    <w:name w:val="List Paragraph"/>
    <w:basedOn w:val="Normal"/>
    <w:uiPriority w:val="34"/>
    <w:qFormat/>
    <w:rsid w:val="001B70B4"/>
    <w:pPr>
      <w:ind w:left="720"/>
      <w:contextualSpacing/>
    </w:pPr>
  </w:style>
  <w:style w:type="table" w:styleId="TableGrid">
    <w:name w:val="Table Grid"/>
    <w:basedOn w:val="TableNormal"/>
    <w:uiPriority w:val="59"/>
    <w:rsid w:val="001B70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B70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B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0B4"/>
  </w:style>
  <w:style w:type="paragraph" w:styleId="Footer">
    <w:name w:val="footer"/>
    <w:basedOn w:val="Normal"/>
    <w:link w:val="FooterChar"/>
    <w:uiPriority w:val="99"/>
    <w:unhideWhenUsed/>
    <w:rsid w:val="001B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0B4"/>
  </w:style>
  <w:style w:type="numbering" w:customStyle="1" w:styleId="NoList1">
    <w:name w:val="No List1"/>
    <w:next w:val="NoList"/>
    <w:uiPriority w:val="99"/>
    <w:semiHidden/>
    <w:unhideWhenUsed/>
    <w:rsid w:val="001B70B4"/>
  </w:style>
  <w:style w:type="table" w:customStyle="1" w:styleId="MediumShading1111">
    <w:name w:val="Medium Shading 1111"/>
    <w:basedOn w:val="TableNormal"/>
    <w:uiPriority w:val="63"/>
    <w:rsid w:val="001B70B4"/>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12">
    <w:name w:val="Medium Shading 112"/>
    <w:basedOn w:val="TableNormal"/>
    <w:uiPriority w:val="63"/>
    <w:rsid w:val="001B70B4"/>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1B70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1B70B4"/>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1B70B4"/>
    <w:pPr>
      <w:spacing w:after="0" w:line="240" w:lineRule="auto"/>
    </w:pPr>
    <w:rPr>
      <w:rFonts w:ascii="Calibri" w:eastAsia="Calibri" w:hAnsi="Calibri"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1B70B4"/>
    <w:rPr>
      <w:sz w:val="16"/>
      <w:szCs w:val="16"/>
    </w:rPr>
  </w:style>
  <w:style w:type="paragraph" w:styleId="CommentText">
    <w:name w:val="annotation text"/>
    <w:basedOn w:val="Normal"/>
    <w:link w:val="CommentTextChar"/>
    <w:uiPriority w:val="99"/>
    <w:semiHidden/>
    <w:unhideWhenUsed/>
    <w:rsid w:val="001B70B4"/>
    <w:pPr>
      <w:spacing w:line="240" w:lineRule="auto"/>
    </w:pPr>
    <w:rPr>
      <w:sz w:val="20"/>
      <w:szCs w:val="20"/>
    </w:rPr>
  </w:style>
  <w:style w:type="character" w:customStyle="1" w:styleId="CommentTextChar">
    <w:name w:val="Comment Text Char"/>
    <w:basedOn w:val="DefaultParagraphFont"/>
    <w:link w:val="CommentText"/>
    <w:uiPriority w:val="99"/>
    <w:semiHidden/>
    <w:rsid w:val="001B70B4"/>
    <w:rPr>
      <w:sz w:val="20"/>
      <w:szCs w:val="20"/>
    </w:rPr>
  </w:style>
  <w:style w:type="table" w:customStyle="1" w:styleId="TableGrid2">
    <w:name w:val="Table Grid2"/>
    <w:basedOn w:val="TableNormal"/>
    <w:next w:val="TableGrid"/>
    <w:uiPriority w:val="59"/>
    <w:rsid w:val="001B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okup-resultcontent">
    <w:name w:val="lookup-result__content"/>
    <w:basedOn w:val="DefaultParagraphFont"/>
    <w:rsid w:val="001B70B4"/>
  </w:style>
  <w:style w:type="character" w:customStyle="1" w:styleId="apple-converted-space">
    <w:name w:val="apple-converted-space"/>
    <w:basedOn w:val="DefaultParagraphFont"/>
    <w:rsid w:val="001B70B4"/>
  </w:style>
  <w:style w:type="table" w:customStyle="1" w:styleId="TableGrid3">
    <w:name w:val="Table Grid3"/>
    <w:basedOn w:val="TableNormal"/>
    <w:next w:val="TableGrid"/>
    <w:uiPriority w:val="59"/>
    <w:rsid w:val="001B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70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11">
    <w:name w:val="Medium Shading 111"/>
    <w:basedOn w:val="TableNormal"/>
    <w:uiPriority w:val="63"/>
    <w:rsid w:val="001B70B4"/>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1B70B4"/>
    <w:rPr>
      <w:color w:val="0000FF"/>
      <w:u w:val="single"/>
    </w:rPr>
  </w:style>
  <w:style w:type="paragraph" w:styleId="BalloonText">
    <w:name w:val="Balloon Text"/>
    <w:basedOn w:val="Normal"/>
    <w:link w:val="BalloonTextChar"/>
    <w:uiPriority w:val="99"/>
    <w:semiHidden/>
    <w:unhideWhenUsed/>
    <w:rsid w:val="001B7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B4"/>
    <w:rPr>
      <w:rFonts w:ascii="Tahoma" w:hAnsi="Tahoma" w:cs="Tahoma"/>
      <w:sz w:val="16"/>
      <w:szCs w:val="16"/>
    </w:rPr>
  </w:style>
  <w:style w:type="paragraph" w:styleId="ListParagraph">
    <w:name w:val="List Paragraph"/>
    <w:basedOn w:val="Normal"/>
    <w:uiPriority w:val="34"/>
    <w:qFormat/>
    <w:rsid w:val="001B70B4"/>
    <w:pPr>
      <w:ind w:left="720"/>
      <w:contextualSpacing/>
    </w:pPr>
  </w:style>
  <w:style w:type="table" w:styleId="TableGrid">
    <w:name w:val="Table Grid"/>
    <w:basedOn w:val="TableNormal"/>
    <w:uiPriority w:val="59"/>
    <w:rsid w:val="001B70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B70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B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0B4"/>
  </w:style>
  <w:style w:type="paragraph" w:styleId="Footer">
    <w:name w:val="footer"/>
    <w:basedOn w:val="Normal"/>
    <w:link w:val="FooterChar"/>
    <w:uiPriority w:val="99"/>
    <w:unhideWhenUsed/>
    <w:rsid w:val="001B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0B4"/>
  </w:style>
  <w:style w:type="numbering" w:customStyle="1" w:styleId="NoList1">
    <w:name w:val="No List1"/>
    <w:next w:val="NoList"/>
    <w:uiPriority w:val="99"/>
    <w:semiHidden/>
    <w:unhideWhenUsed/>
    <w:rsid w:val="001B70B4"/>
  </w:style>
  <w:style w:type="table" w:customStyle="1" w:styleId="MediumShading1111">
    <w:name w:val="Medium Shading 1111"/>
    <w:basedOn w:val="TableNormal"/>
    <w:uiPriority w:val="63"/>
    <w:rsid w:val="001B70B4"/>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12">
    <w:name w:val="Medium Shading 112"/>
    <w:basedOn w:val="TableNormal"/>
    <w:uiPriority w:val="63"/>
    <w:rsid w:val="001B70B4"/>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1B70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1B70B4"/>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1B70B4"/>
    <w:pPr>
      <w:spacing w:after="0" w:line="240" w:lineRule="auto"/>
    </w:pPr>
    <w:rPr>
      <w:rFonts w:ascii="Calibri" w:eastAsia="Calibri" w:hAnsi="Calibri"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1B70B4"/>
    <w:rPr>
      <w:sz w:val="16"/>
      <w:szCs w:val="16"/>
    </w:rPr>
  </w:style>
  <w:style w:type="paragraph" w:styleId="CommentText">
    <w:name w:val="annotation text"/>
    <w:basedOn w:val="Normal"/>
    <w:link w:val="CommentTextChar"/>
    <w:uiPriority w:val="99"/>
    <w:semiHidden/>
    <w:unhideWhenUsed/>
    <w:rsid w:val="001B70B4"/>
    <w:pPr>
      <w:spacing w:line="240" w:lineRule="auto"/>
    </w:pPr>
    <w:rPr>
      <w:sz w:val="20"/>
      <w:szCs w:val="20"/>
    </w:rPr>
  </w:style>
  <w:style w:type="character" w:customStyle="1" w:styleId="CommentTextChar">
    <w:name w:val="Comment Text Char"/>
    <w:basedOn w:val="DefaultParagraphFont"/>
    <w:link w:val="CommentText"/>
    <w:uiPriority w:val="99"/>
    <w:semiHidden/>
    <w:rsid w:val="001B70B4"/>
    <w:rPr>
      <w:sz w:val="20"/>
      <w:szCs w:val="20"/>
    </w:rPr>
  </w:style>
  <w:style w:type="table" w:customStyle="1" w:styleId="TableGrid2">
    <w:name w:val="Table Grid2"/>
    <w:basedOn w:val="TableNormal"/>
    <w:next w:val="TableGrid"/>
    <w:uiPriority w:val="59"/>
    <w:rsid w:val="001B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okup-resultcontent">
    <w:name w:val="lookup-result__content"/>
    <w:basedOn w:val="DefaultParagraphFont"/>
    <w:rsid w:val="001B70B4"/>
  </w:style>
  <w:style w:type="character" w:customStyle="1" w:styleId="apple-converted-space">
    <w:name w:val="apple-converted-space"/>
    <w:basedOn w:val="DefaultParagraphFont"/>
    <w:rsid w:val="001B70B4"/>
  </w:style>
  <w:style w:type="table" w:customStyle="1" w:styleId="TableGrid3">
    <w:name w:val="Table Grid3"/>
    <w:basedOn w:val="TableNormal"/>
    <w:next w:val="TableGrid"/>
    <w:uiPriority w:val="59"/>
    <w:rsid w:val="001B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7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dmhsas.org/eda/advancedquery/advancedque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dc.gov/nchs.nv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onder.cdc.gov/" TargetMode="External"/><Relationship Id="rId5" Type="http://schemas.openxmlformats.org/officeDocument/2006/relationships/webSettings" Target="webSettings.xml"/><Relationship Id="rId15" Type="http://schemas.openxmlformats.org/officeDocument/2006/relationships/hyperlink" Target="http://poison.health.ok.gov"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odmhsas.org/eda/advancedquery/advancedquery"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OHSO** Alcohol Related</a:t>
            </a:r>
            <a:r>
              <a:rPr lang="en-US" baseline="0"/>
              <a:t> Crash Counts</a:t>
            </a:r>
          </a:p>
          <a:p>
            <a:pPr>
              <a:defRPr/>
            </a:pPr>
            <a:r>
              <a:rPr lang="en-US"/>
              <a:t>2012-2016</a:t>
            </a:r>
          </a:p>
        </c:rich>
      </c:tx>
      <c:overlay val="0"/>
    </c:title>
    <c:autoTitleDeleted val="0"/>
    <c:plotArea>
      <c:layout/>
      <c:barChart>
        <c:barDir val="col"/>
        <c:grouping val="clustered"/>
        <c:varyColors val="0"/>
        <c:ser>
          <c:idx val="0"/>
          <c:order val="0"/>
          <c:tx>
            <c:strRef>
              <c:f>Sheet1!$B$1</c:f>
              <c:strCache>
                <c:ptCount val="1"/>
                <c:pt idx="0">
                  <c:v>2012</c:v>
                </c:pt>
              </c:strCache>
            </c:strRef>
          </c:tx>
          <c:invertIfNegative val="0"/>
          <c:cat>
            <c:strRef>
              <c:f>Sheet1!$A$2:$A$9</c:f>
              <c:strCache>
                <c:ptCount val="8"/>
                <c:pt idx="0">
                  <c:v>Garvin</c:v>
                </c:pt>
                <c:pt idx="1">
                  <c:v>Marshall</c:v>
                </c:pt>
                <c:pt idx="2">
                  <c:v>Love</c:v>
                </c:pt>
                <c:pt idx="3">
                  <c:v>Murray</c:v>
                </c:pt>
                <c:pt idx="4">
                  <c:v>Pontotoc</c:v>
                </c:pt>
                <c:pt idx="5">
                  <c:v>Carter</c:v>
                </c:pt>
                <c:pt idx="6">
                  <c:v>Bryan</c:v>
                </c:pt>
                <c:pt idx="7">
                  <c:v>Johnston</c:v>
                </c:pt>
              </c:strCache>
            </c:strRef>
          </c:cat>
          <c:val>
            <c:numRef>
              <c:f>Sheet1!$B$2:$B$9</c:f>
              <c:numCache>
                <c:formatCode>General</c:formatCode>
                <c:ptCount val="8"/>
                <c:pt idx="0">
                  <c:v>30</c:v>
                </c:pt>
                <c:pt idx="1">
                  <c:v>24</c:v>
                </c:pt>
                <c:pt idx="2">
                  <c:v>17</c:v>
                </c:pt>
                <c:pt idx="3">
                  <c:v>13</c:v>
                </c:pt>
                <c:pt idx="4">
                  <c:v>34</c:v>
                </c:pt>
                <c:pt idx="5">
                  <c:v>57</c:v>
                </c:pt>
                <c:pt idx="6">
                  <c:v>52</c:v>
                </c:pt>
                <c:pt idx="7">
                  <c:v>25</c:v>
                </c:pt>
              </c:numCache>
            </c:numRef>
          </c:val>
          <c:extLst xmlns:c16r2="http://schemas.microsoft.com/office/drawing/2015/06/chart">
            <c:ext xmlns:c16="http://schemas.microsoft.com/office/drawing/2014/chart" uri="{C3380CC4-5D6E-409C-BE32-E72D297353CC}">
              <c16:uniqueId val="{00000000-C1BC-4B78-98BE-A47D4959A534}"/>
            </c:ext>
          </c:extLst>
        </c:ser>
        <c:ser>
          <c:idx val="1"/>
          <c:order val="1"/>
          <c:tx>
            <c:strRef>
              <c:f>Sheet1!$C$1</c:f>
              <c:strCache>
                <c:ptCount val="1"/>
                <c:pt idx="0">
                  <c:v>2013</c:v>
                </c:pt>
              </c:strCache>
            </c:strRef>
          </c:tx>
          <c:invertIfNegative val="0"/>
          <c:cat>
            <c:strRef>
              <c:f>Sheet1!$A$2:$A$9</c:f>
              <c:strCache>
                <c:ptCount val="8"/>
                <c:pt idx="0">
                  <c:v>Garvin</c:v>
                </c:pt>
                <c:pt idx="1">
                  <c:v>Marshall</c:v>
                </c:pt>
                <c:pt idx="2">
                  <c:v>Love</c:v>
                </c:pt>
                <c:pt idx="3">
                  <c:v>Murray</c:v>
                </c:pt>
                <c:pt idx="4">
                  <c:v>Pontotoc</c:v>
                </c:pt>
                <c:pt idx="5">
                  <c:v>Carter</c:v>
                </c:pt>
                <c:pt idx="6">
                  <c:v>Bryan</c:v>
                </c:pt>
                <c:pt idx="7">
                  <c:v>Johnston</c:v>
                </c:pt>
              </c:strCache>
            </c:strRef>
          </c:cat>
          <c:val>
            <c:numRef>
              <c:f>Sheet1!$C$2:$C$9</c:f>
              <c:numCache>
                <c:formatCode>General</c:formatCode>
                <c:ptCount val="8"/>
                <c:pt idx="0">
                  <c:v>34</c:v>
                </c:pt>
                <c:pt idx="1">
                  <c:v>14</c:v>
                </c:pt>
                <c:pt idx="2">
                  <c:v>22</c:v>
                </c:pt>
                <c:pt idx="3">
                  <c:v>18</c:v>
                </c:pt>
                <c:pt idx="4">
                  <c:v>23</c:v>
                </c:pt>
                <c:pt idx="5">
                  <c:v>47</c:v>
                </c:pt>
                <c:pt idx="6">
                  <c:v>62</c:v>
                </c:pt>
                <c:pt idx="7">
                  <c:v>15</c:v>
                </c:pt>
              </c:numCache>
            </c:numRef>
          </c:val>
          <c:extLst xmlns:c16r2="http://schemas.microsoft.com/office/drawing/2015/06/chart">
            <c:ext xmlns:c16="http://schemas.microsoft.com/office/drawing/2014/chart" uri="{C3380CC4-5D6E-409C-BE32-E72D297353CC}">
              <c16:uniqueId val="{00000001-C1BC-4B78-98BE-A47D4959A534}"/>
            </c:ext>
          </c:extLst>
        </c:ser>
        <c:ser>
          <c:idx val="2"/>
          <c:order val="2"/>
          <c:tx>
            <c:strRef>
              <c:f>Sheet1!$D$1</c:f>
              <c:strCache>
                <c:ptCount val="1"/>
                <c:pt idx="0">
                  <c:v>2014</c:v>
                </c:pt>
              </c:strCache>
            </c:strRef>
          </c:tx>
          <c:invertIfNegative val="0"/>
          <c:cat>
            <c:strRef>
              <c:f>Sheet1!$A$2:$A$9</c:f>
              <c:strCache>
                <c:ptCount val="8"/>
                <c:pt idx="0">
                  <c:v>Garvin</c:v>
                </c:pt>
                <c:pt idx="1">
                  <c:v>Marshall</c:v>
                </c:pt>
                <c:pt idx="2">
                  <c:v>Love</c:v>
                </c:pt>
                <c:pt idx="3">
                  <c:v>Murray</c:v>
                </c:pt>
                <c:pt idx="4">
                  <c:v>Pontotoc</c:v>
                </c:pt>
                <c:pt idx="5">
                  <c:v>Carter</c:v>
                </c:pt>
                <c:pt idx="6">
                  <c:v>Bryan</c:v>
                </c:pt>
                <c:pt idx="7">
                  <c:v>Johnston</c:v>
                </c:pt>
              </c:strCache>
            </c:strRef>
          </c:cat>
          <c:val>
            <c:numRef>
              <c:f>Sheet1!$D$2:$D$9</c:f>
              <c:numCache>
                <c:formatCode>General</c:formatCode>
                <c:ptCount val="8"/>
                <c:pt idx="0">
                  <c:v>27</c:v>
                </c:pt>
                <c:pt idx="1">
                  <c:v>17</c:v>
                </c:pt>
                <c:pt idx="2">
                  <c:v>13</c:v>
                </c:pt>
                <c:pt idx="3">
                  <c:v>21</c:v>
                </c:pt>
                <c:pt idx="4">
                  <c:v>28</c:v>
                </c:pt>
                <c:pt idx="5">
                  <c:v>52</c:v>
                </c:pt>
                <c:pt idx="6">
                  <c:v>39</c:v>
                </c:pt>
                <c:pt idx="7">
                  <c:v>8</c:v>
                </c:pt>
              </c:numCache>
            </c:numRef>
          </c:val>
          <c:extLst xmlns:c16r2="http://schemas.microsoft.com/office/drawing/2015/06/chart">
            <c:ext xmlns:c16="http://schemas.microsoft.com/office/drawing/2014/chart" uri="{C3380CC4-5D6E-409C-BE32-E72D297353CC}">
              <c16:uniqueId val="{00000002-C1BC-4B78-98BE-A47D4959A534}"/>
            </c:ext>
          </c:extLst>
        </c:ser>
        <c:ser>
          <c:idx val="3"/>
          <c:order val="3"/>
          <c:tx>
            <c:strRef>
              <c:f>Sheet1!$E$1</c:f>
              <c:strCache>
                <c:ptCount val="1"/>
                <c:pt idx="0">
                  <c:v>2015</c:v>
                </c:pt>
              </c:strCache>
            </c:strRef>
          </c:tx>
          <c:invertIfNegative val="0"/>
          <c:cat>
            <c:strRef>
              <c:f>Sheet1!$A$2:$A$9</c:f>
              <c:strCache>
                <c:ptCount val="8"/>
                <c:pt idx="0">
                  <c:v>Garvin</c:v>
                </c:pt>
                <c:pt idx="1">
                  <c:v>Marshall</c:v>
                </c:pt>
                <c:pt idx="2">
                  <c:v>Love</c:v>
                </c:pt>
                <c:pt idx="3">
                  <c:v>Murray</c:v>
                </c:pt>
                <c:pt idx="4">
                  <c:v>Pontotoc</c:v>
                </c:pt>
                <c:pt idx="5">
                  <c:v>Carter</c:v>
                </c:pt>
                <c:pt idx="6">
                  <c:v>Bryan</c:v>
                </c:pt>
                <c:pt idx="7">
                  <c:v>Johnston</c:v>
                </c:pt>
              </c:strCache>
            </c:strRef>
          </c:cat>
          <c:val>
            <c:numRef>
              <c:f>Sheet1!$E$2:$E$9</c:f>
              <c:numCache>
                <c:formatCode>General</c:formatCode>
                <c:ptCount val="8"/>
                <c:pt idx="0">
                  <c:v>31</c:v>
                </c:pt>
                <c:pt idx="1">
                  <c:v>19</c:v>
                </c:pt>
                <c:pt idx="2">
                  <c:v>11</c:v>
                </c:pt>
                <c:pt idx="3">
                  <c:v>15</c:v>
                </c:pt>
                <c:pt idx="4">
                  <c:v>35</c:v>
                </c:pt>
                <c:pt idx="5">
                  <c:v>39</c:v>
                </c:pt>
                <c:pt idx="6">
                  <c:v>56</c:v>
                </c:pt>
                <c:pt idx="7">
                  <c:v>14</c:v>
                </c:pt>
              </c:numCache>
            </c:numRef>
          </c:val>
          <c:extLst xmlns:c16r2="http://schemas.microsoft.com/office/drawing/2015/06/chart">
            <c:ext xmlns:c16="http://schemas.microsoft.com/office/drawing/2014/chart" uri="{C3380CC4-5D6E-409C-BE32-E72D297353CC}">
              <c16:uniqueId val="{00000003-C1BC-4B78-98BE-A47D4959A534}"/>
            </c:ext>
          </c:extLst>
        </c:ser>
        <c:ser>
          <c:idx val="4"/>
          <c:order val="4"/>
          <c:tx>
            <c:strRef>
              <c:f>Sheet1!$F$1</c:f>
              <c:strCache>
                <c:ptCount val="1"/>
                <c:pt idx="0">
                  <c:v>2016</c:v>
                </c:pt>
              </c:strCache>
            </c:strRef>
          </c:tx>
          <c:invertIfNegative val="0"/>
          <c:cat>
            <c:strRef>
              <c:f>Sheet1!$A$2:$A$9</c:f>
              <c:strCache>
                <c:ptCount val="8"/>
                <c:pt idx="0">
                  <c:v>Garvin</c:v>
                </c:pt>
                <c:pt idx="1">
                  <c:v>Marshall</c:v>
                </c:pt>
                <c:pt idx="2">
                  <c:v>Love</c:v>
                </c:pt>
                <c:pt idx="3">
                  <c:v>Murray</c:v>
                </c:pt>
                <c:pt idx="4">
                  <c:v>Pontotoc</c:v>
                </c:pt>
                <c:pt idx="5">
                  <c:v>Carter</c:v>
                </c:pt>
                <c:pt idx="6">
                  <c:v>Bryan</c:v>
                </c:pt>
                <c:pt idx="7">
                  <c:v>Johnston</c:v>
                </c:pt>
              </c:strCache>
            </c:strRef>
          </c:cat>
          <c:val>
            <c:numRef>
              <c:f>Sheet1!$F$2:$F$9</c:f>
              <c:numCache>
                <c:formatCode>General</c:formatCode>
                <c:ptCount val="8"/>
                <c:pt idx="0">
                  <c:v>15</c:v>
                </c:pt>
                <c:pt idx="1">
                  <c:v>19</c:v>
                </c:pt>
                <c:pt idx="2">
                  <c:v>16</c:v>
                </c:pt>
                <c:pt idx="3">
                  <c:v>11</c:v>
                </c:pt>
                <c:pt idx="4">
                  <c:v>25</c:v>
                </c:pt>
                <c:pt idx="5">
                  <c:v>41</c:v>
                </c:pt>
                <c:pt idx="6">
                  <c:v>61</c:v>
                </c:pt>
                <c:pt idx="7">
                  <c:v>13</c:v>
                </c:pt>
              </c:numCache>
            </c:numRef>
          </c:val>
          <c:extLst xmlns:c16r2="http://schemas.microsoft.com/office/drawing/2015/06/chart">
            <c:ext xmlns:c16="http://schemas.microsoft.com/office/drawing/2014/chart" uri="{C3380CC4-5D6E-409C-BE32-E72D297353CC}">
              <c16:uniqueId val="{00000004-C1BC-4B78-98BE-A47D4959A534}"/>
            </c:ext>
          </c:extLst>
        </c:ser>
        <c:dLbls>
          <c:showLegendKey val="0"/>
          <c:showVal val="0"/>
          <c:showCatName val="0"/>
          <c:showSerName val="0"/>
          <c:showPercent val="0"/>
          <c:showBubbleSize val="0"/>
        </c:dLbls>
        <c:gapWidth val="150"/>
        <c:axId val="65734912"/>
        <c:axId val="65737088"/>
      </c:barChart>
      <c:catAx>
        <c:axId val="65734912"/>
        <c:scaling>
          <c:orientation val="minMax"/>
        </c:scaling>
        <c:delete val="0"/>
        <c:axPos val="b"/>
        <c:title>
          <c:tx>
            <c:rich>
              <a:bodyPr/>
              <a:lstStyle/>
              <a:p>
                <a:pPr>
                  <a:defRPr/>
                </a:pPr>
                <a:r>
                  <a:rPr lang="en-US"/>
                  <a:t>Source: Oklahoma</a:t>
                </a:r>
                <a:r>
                  <a:rPr lang="en-US" baseline="0"/>
                  <a:t> Highway Safety Office (OHSO)</a:t>
                </a:r>
                <a:endParaRPr lang="en-US"/>
              </a:p>
            </c:rich>
          </c:tx>
          <c:layout>
            <c:manualLayout>
              <c:xMode val="edge"/>
              <c:yMode val="edge"/>
              <c:x val="0.24261800894099214"/>
              <c:y val="0.91912292833084264"/>
            </c:manualLayout>
          </c:layout>
          <c:overlay val="0"/>
        </c:title>
        <c:numFmt formatCode="General" sourceLinked="0"/>
        <c:majorTickMark val="out"/>
        <c:minorTickMark val="none"/>
        <c:tickLblPos val="nextTo"/>
        <c:crossAx val="65737088"/>
        <c:crosses val="autoZero"/>
        <c:auto val="1"/>
        <c:lblAlgn val="ctr"/>
        <c:lblOffset val="100"/>
        <c:noMultiLvlLbl val="0"/>
      </c:catAx>
      <c:valAx>
        <c:axId val="65737088"/>
        <c:scaling>
          <c:orientation val="minMax"/>
        </c:scaling>
        <c:delete val="0"/>
        <c:axPos val="l"/>
        <c:majorGridlines/>
        <c:numFmt formatCode="General" sourceLinked="1"/>
        <c:majorTickMark val="out"/>
        <c:minorTickMark val="none"/>
        <c:tickLblPos val="nextTo"/>
        <c:crossAx val="65734912"/>
        <c:crosses val="autoZero"/>
        <c:crossBetween val="between"/>
      </c:valAx>
      <c:dTable>
        <c:showHorzBorder val="1"/>
        <c:showVertBorder val="1"/>
        <c:showOutline val="1"/>
        <c:showKeys val="0"/>
      </c:dTable>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OHSO** Drivers</a:t>
            </a:r>
            <a:r>
              <a:rPr lang="en-US" baseline="0"/>
              <a:t> Involved in </a:t>
            </a:r>
            <a:br>
              <a:rPr lang="en-US" baseline="0"/>
            </a:br>
            <a:r>
              <a:rPr lang="en-US" baseline="0"/>
              <a:t>Alcohol-Related Incidents  2012-2016</a:t>
            </a:r>
          </a:p>
        </c:rich>
      </c:tx>
      <c:overlay val="0"/>
    </c:title>
    <c:autoTitleDeleted val="0"/>
    <c:plotArea>
      <c:layout>
        <c:manualLayout>
          <c:layoutTarget val="inner"/>
          <c:xMode val="edge"/>
          <c:yMode val="edge"/>
          <c:x val="9.9027777777777784E-2"/>
          <c:y val="0.23154624536766141"/>
          <c:w val="0.77767479585885102"/>
          <c:h val="0.30512560929883764"/>
        </c:manualLayout>
      </c:layout>
      <c:barChart>
        <c:barDir val="col"/>
        <c:grouping val="clustered"/>
        <c:varyColors val="0"/>
        <c:ser>
          <c:idx val="0"/>
          <c:order val="0"/>
          <c:tx>
            <c:strRef>
              <c:f>Sheet1!$B$1</c:f>
              <c:strCache>
                <c:ptCount val="1"/>
                <c:pt idx="0">
                  <c:v>2012</c:v>
                </c:pt>
              </c:strCache>
            </c:strRef>
          </c:tx>
          <c:invertIfNegative val="0"/>
          <c:cat>
            <c:strRef>
              <c:f>Sheet1!$A$2:$A$9</c:f>
              <c:strCache>
                <c:ptCount val="8"/>
                <c:pt idx="0">
                  <c:v>Marshall</c:v>
                </c:pt>
                <c:pt idx="1">
                  <c:v>Carter</c:v>
                </c:pt>
                <c:pt idx="2">
                  <c:v>Johnston</c:v>
                </c:pt>
                <c:pt idx="3">
                  <c:v>Bryan</c:v>
                </c:pt>
                <c:pt idx="4">
                  <c:v>Love</c:v>
                </c:pt>
                <c:pt idx="5">
                  <c:v>Garvin</c:v>
                </c:pt>
                <c:pt idx="6">
                  <c:v>Pontotoc</c:v>
                </c:pt>
                <c:pt idx="7">
                  <c:v>Murray</c:v>
                </c:pt>
              </c:strCache>
            </c:strRef>
          </c:cat>
          <c:val>
            <c:numRef>
              <c:f>Sheet1!$B$2:$B$9</c:f>
              <c:numCache>
                <c:formatCode>General</c:formatCode>
                <c:ptCount val="8"/>
                <c:pt idx="0">
                  <c:v>28</c:v>
                </c:pt>
                <c:pt idx="1">
                  <c:v>80</c:v>
                </c:pt>
                <c:pt idx="2">
                  <c:v>30</c:v>
                </c:pt>
                <c:pt idx="3">
                  <c:v>68</c:v>
                </c:pt>
                <c:pt idx="4">
                  <c:v>22</c:v>
                </c:pt>
                <c:pt idx="5">
                  <c:v>34</c:v>
                </c:pt>
                <c:pt idx="6">
                  <c:v>45</c:v>
                </c:pt>
                <c:pt idx="7">
                  <c:v>18</c:v>
                </c:pt>
              </c:numCache>
            </c:numRef>
          </c:val>
          <c:extLst xmlns:c16r2="http://schemas.microsoft.com/office/drawing/2015/06/chart">
            <c:ext xmlns:c16="http://schemas.microsoft.com/office/drawing/2014/chart" uri="{C3380CC4-5D6E-409C-BE32-E72D297353CC}">
              <c16:uniqueId val="{00000000-0957-4096-95FE-F8E1A735D9A3}"/>
            </c:ext>
          </c:extLst>
        </c:ser>
        <c:ser>
          <c:idx val="1"/>
          <c:order val="1"/>
          <c:tx>
            <c:strRef>
              <c:f>Sheet1!$C$1</c:f>
              <c:strCache>
                <c:ptCount val="1"/>
                <c:pt idx="0">
                  <c:v>2013</c:v>
                </c:pt>
              </c:strCache>
            </c:strRef>
          </c:tx>
          <c:invertIfNegative val="0"/>
          <c:cat>
            <c:strRef>
              <c:f>Sheet1!$A$2:$A$9</c:f>
              <c:strCache>
                <c:ptCount val="8"/>
                <c:pt idx="0">
                  <c:v>Marshall</c:v>
                </c:pt>
                <c:pt idx="1">
                  <c:v>Carter</c:v>
                </c:pt>
                <c:pt idx="2">
                  <c:v>Johnston</c:v>
                </c:pt>
                <c:pt idx="3">
                  <c:v>Bryan</c:v>
                </c:pt>
                <c:pt idx="4">
                  <c:v>Love</c:v>
                </c:pt>
                <c:pt idx="5">
                  <c:v>Garvin</c:v>
                </c:pt>
                <c:pt idx="6">
                  <c:v>Pontotoc</c:v>
                </c:pt>
                <c:pt idx="7">
                  <c:v>Murray</c:v>
                </c:pt>
              </c:strCache>
            </c:strRef>
          </c:cat>
          <c:val>
            <c:numRef>
              <c:f>Sheet1!$C$2:$C$9</c:f>
              <c:numCache>
                <c:formatCode>General</c:formatCode>
                <c:ptCount val="8"/>
                <c:pt idx="0">
                  <c:v>14</c:v>
                </c:pt>
                <c:pt idx="1">
                  <c:v>47</c:v>
                </c:pt>
                <c:pt idx="2">
                  <c:v>15</c:v>
                </c:pt>
                <c:pt idx="3">
                  <c:v>62</c:v>
                </c:pt>
                <c:pt idx="4">
                  <c:v>22</c:v>
                </c:pt>
                <c:pt idx="5">
                  <c:v>35</c:v>
                </c:pt>
                <c:pt idx="6">
                  <c:v>23</c:v>
                </c:pt>
                <c:pt idx="7">
                  <c:v>18</c:v>
                </c:pt>
              </c:numCache>
            </c:numRef>
          </c:val>
          <c:extLst xmlns:c16r2="http://schemas.microsoft.com/office/drawing/2015/06/chart">
            <c:ext xmlns:c16="http://schemas.microsoft.com/office/drawing/2014/chart" uri="{C3380CC4-5D6E-409C-BE32-E72D297353CC}">
              <c16:uniqueId val="{00000001-0957-4096-95FE-F8E1A735D9A3}"/>
            </c:ext>
          </c:extLst>
        </c:ser>
        <c:ser>
          <c:idx val="2"/>
          <c:order val="2"/>
          <c:tx>
            <c:strRef>
              <c:f>Sheet1!$D$1</c:f>
              <c:strCache>
                <c:ptCount val="1"/>
                <c:pt idx="0">
                  <c:v>2014</c:v>
                </c:pt>
              </c:strCache>
            </c:strRef>
          </c:tx>
          <c:invertIfNegative val="0"/>
          <c:cat>
            <c:strRef>
              <c:f>Sheet1!$A$2:$A$9</c:f>
              <c:strCache>
                <c:ptCount val="8"/>
                <c:pt idx="0">
                  <c:v>Marshall</c:v>
                </c:pt>
                <c:pt idx="1">
                  <c:v>Carter</c:v>
                </c:pt>
                <c:pt idx="2">
                  <c:v>Johnston</c:v>
                </c:pt>
                <c:pt idx="3">
                  <c:v>Bryan</c:v>
                </c:pt>
                <c:pt idx="4">
                  <c:v>Love</c:v>
                </c:pt>
                <c:pt idx="5">
                  <c:v>Garvin</c:v>
                </c:pt>
                <c:pt idx="6">
                  <c:v>Pontotoc</c:v>
                </c:pt>
                <c:pt idx="7">
                  <c:v>Murray</c:v>
                </c:pt>
              </c:strCache>
            </c:strRef>
          </c:cat>
          <c:val>
            <c:numRef>
              <c:f>Sheet1!$D$2:$D$9</c:f>
              <c:numCache>
                <c:formatCode>General</c:formatCode>
                <c:ptCount val="8"/>
                <c:pt idx="0">
                  <c:v>17</c:v>
                </c:pt>
                <c:pt idx="1">
                  <c:v>53</c:v>
                </c:pt>
                <c:pt idx="2">
                  <c:v>8</c:v>
                </c:pt>
                <c:pt idx="3">
                  <c:v>39</c:v>
                </c:pt>
                <c:pt idx="4">
                  <c:v>13</c:v>
                </c:pt>
                <c:pt idx="5">
                  <c:v>27</c:v>
                </c:pt>
                <c:pt idx="6">
                  <c:v>28</c:v>
                </c:pt>
                <c:pt idx="7">
                  <c:v>21</c:v>
                </c:pt>
              </c:numCache>
            </c:numRef>
          </c:val>
          <c:extLst xmlns:c16r2="http://schemas.microsoft.com/office/drawing/2015/06/chart">
            <c:ext xmlns:c16="http://schemas.microsoft.com/office/drawing/2014/chart" uri="{C3380CC4-5D6E-409C-BE32-E72D297353CC}">
              <c16:uniqueId val="{00000002-0957-4096-95FE-F8E1A735D9A3}"/>
            </c:ext>
          </c:extLst>
        </c:ser>
        <c:ser>
          <c:idx val="3"/>
          <c:order val="3"/>
          <c:tx>
            <c:strRef>
              <c:f>Sheet1!$E$1</c:f>
              <c:strCache>
                <c:ptCount val="1"/>
                <c:pt idx="0">
                  <c:v>2015</c:v>
                </c:pt>
              </c:strCache>
            </c:strRef>
          </c:tx>
          <c:invertIfNegative val="0"/>
          <c:cat>
            <c:strRef>
              <c:f>Sheet1!$A$2:$A$9</c:f>
              <c:strCache>
                <c:ptCount val="8"/>
                <c:pt idx="0">
                  <c:v>Marshall</c:v>
                </c:pt>
                <c:pt idx="1">
                  <c:v>Carter</c:v>
                </c:pt>
                <c:pt idx="2">
                  <c:v>Johnston</c:v>
                </c:pt>
                <c:pt idx="3">
                  <c:v>Bryan</c:v>
                </c:pt>
                <c:pt idx="4">
                  <c:v>Love</c:v>
                </c:pt>
                <c:pt idx="5">
                  <c:v>Garvin</c:v>
                </c:pt>
                <c:pt idx="6">
                  <c:v>Pontotoc</c:v>
                </c:pt>
                <c:pt idx="7">
                  <c:v>Murray</c:v>
                </c:pt>
              </c:strCache>
            </c:strRef>
          </c:cat>
          <c:val>
            <c:numRef>
              <c:f>Sheet1!$E$2:$E$9</c:f>
              <c:numCache>
                <c:formatCode>General</c:formatCode>
                <c:ptCount val="8"/>
                <c:pt idx="0">
                  <c:v>19</c:v>
                </c:pt>
                <c:pt idx="1">
                  <c:v>40</c:v>
                </c:pt>
                <c:pt idx="2">
                  <c:v>14</c:v>
                </c:pt>
                <c:pt idx="3">
                  <c:v>56</c:v>
                </c:pt>
                <c:pt idx="4">
                  <c:v>11</c:v>
                </c:pt>
                <c:pt idx="5">
                  <c:v>31</c:v>
                </c:pt>
                <c:pt idx="6">
                  <c:v>35</c:v>
                </c:pt>
                <c:pt idx="7">
                  <c:v>15</c:v>
                </c:pt>
              </c:numCache>
            </c:numRef>
          </c:val>
          <c:extLst xmlns:c16r2="http://schemas.microsoft.com/office/drawing/2015/06/chart">
            <c:ext xmlns:c16="http://schemas.microsoft.com/office/drawing/2014/chart" uri="{C3380CC4-5D6E-409C-BE32-E72D297353CC}">
              <c16:uniqueId val="{00000003-0957-4096-95FE-F8E1A735D9A3}"/>
            </c:ext>
          </c:extLst>
        </c:ser>
        <c:ser>
          <c:idx val="4"/>
          <c:order val="4"/>
          <c:tx>
            <c:strRef>
              <c:f>Sheet1!$F$1</c:f>
              <c:strCache>
                <c:ptCount val="1"/>
                <c:pt idx="0">
                  <c:v>2016</c:v>
                </c:pt>
              </c:strCache>
            </c:strRef>
          </c:tx>
          <c:invertIfNegative val="0"/>
          <c:cat>
            <c:strRef>
              <c:f>Sheet1!$A$2:$A$9</c:f>
              <c:strCache>
                <c:ptCount val="8"/>
                <c:pt idx="0">
                  <c:v>Marshall</c:v>
                </c:pt>
                <c:pt idx="1">
                  <c:v>Carter</c:v>
                </c:pt>
                <c:pt idx="2">
                  <c:v>Johnston</c:v>
                </c:pt>
                <c:pt idx="3">
                  <c:v>Bryan</c:v>
                </c:pt>
                <c:pt idx="4">
                  <c:v>Love</c:v>
                </c:pt>
                <c:pt idx="5">
                  <c:v>Garvin</c:v>
                </c:pt>
                <c:pt idx="6">
                  <c:v>Pontotoc</c:v>
                </c:pt>
                <c:pt idx="7">
                  <c:v>Murray</c:v>
                </c:pt>
              </c:strCache>
            </c:strRef>
          </c:cat>
          <c:val>
            <c:numRef>
              <c:f>Sheet1!$F$2:$F$9</c:f>
              <c:numCache>
                <c:formatCode>General</c:formatCode>
                <c:ptCount val="8"/>
                <c:pt idx="0">
                  <c:v>19</c:v>
                </c:pt>
                <c:pt idx="1">
                  <c:v>41</c:v>
                </c:pt>
                <c:pt idx="2">
                  <c:v>13</c:v>
                </c:pt>
                <c:pt idx="3">
                  <c:v>61</c:v>
                </c:pt>
                <c:pt idx="4">
                  <c:v>16</c:v>
                </c:pt>
                <c:pt idx="5">
                  <c:v>15</c:v>
                </c:pt>
                <c:pt idx="6">
                  <c:v>25</c:v>
                </c:pt>
                <c:pt idx="7">
                  <c:v>12</c:v>
                </c:pt>
              </c:numCache>
            </c:numRef>
          </c:val>
          <c:extLst xmlns:c16r2="http://schemas.microsoft.com/office/drawing/2015/06/chart">
            <c:ext xmlns:c16="http://schemas.microsoft.com/office/drawing/2014/chart" uri="{C3380CC4-5D6E-409C-BE32-E72D297353CC}">
              <c16:uniqueId val="{00000004-0957-4096-95FE-F8E1A735D9A3}"/>
            </c:ext>
          </c:extLst>
        </c:ser>
        <c:dLbls>
          <c:showLegendKey val="0"/>
          <c:showVal val="0"/>
          <c:showCatName val="0"/>
          <c:showSerName val="0"/>
          <c:showPercent val="0"/>
          <c:showBubbleSize val="0"/>
        </c:dLbls>
        <c:gapWidth val="150"/>
        <c:axId val="64023552"/>
        <c:axId val="65791104"/>
      </c:barChart>
      <c:catAx>
        <c:axId val="64023552"/>
        <c:scaling>
          <c:orientation val="minMax"/>
        </c:scaling>
        <c:delete val="0"/>
        <c:axPos val="b"/>
        <c:title>
          <c:tx>
            <c:rich>
              <a:bodyPr/>
              <a:lstStyle/>
              <a:p>
                <a:pPr>
                  <a:defRPr/>
                </a:pPr>
                <a:r>
                  <a:rPr lang="en-US"/>
                  <a:t>Source: Oklahoma Highway</a:t>
                </a:r>
                <a:r>
                  <a:rPr lang="en-US" baseline="0"/>
                  <a:t> Safety Office </a:t>
                </a:r>
                <a:endParaRPr lang="en-US"/>
              </a:p>
            </c:rich>
          </c:tx>
          <c:layout>
            <c:manualLayout>
              <c:xMode val="edge"/>
              <c:yMode val="edge"/>
              <c:x val="0.29153998979294254"/>
              <c:y val="0.93966254218222722"/>
            </c:manualLayout>
          </c:layout>
          <c:overlay val="0"/>
        </c:title>
        <c:numFmt formatCode="General" sourceLinked="0"/>
        <c:majorTickMark val="out"/>
        <c:minorTickMark val="none"/>
        <c:tickLblPos val="nextTo"/>
        <c:crossAx val="65791104"/>
        <c:crosses val="autoZero"/>
        <c:auto val="1"/>
        <c:lblAlgn val="ctr"/>
        <c:lblOffset val="100"/>
        <c:noMultiLvlLbl val="0"/>
      </c:catAx>
      <c:valAx>
        <c:axId val="65791104"/>
        <c:scaling>
          <c:orientation val="minMax"/>
        </c:scaling>
        <c:delete val="0"/>
        <c:axPos val="l"/>
        <c:majorGridlines/>
        <c:numFmt formatCode="General" sourceLinked="1"/>
        <c:majorTickMark val="out"/>
        <c:minorTickMark val="none"/>
        <c:tickLblPos val="nextTo"/>
        <c:crossAx val="64023552"/>
        <c:crosses val="autoZero"/>
        <c:crossBetween val="between"/>
      </c:valAx>
      <c:dTable>
        <c:showHorzBorder val="1"/>
        <c:showVertBorder val="1"/>
        <c:showOutline val="1"/>
        <c:showKeys val="0"/>
      </c:dTable>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6533</TotalTime>
  <Pages>21</Pages>
  <Words>5682</Words>
  <Characters>32394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Gwynn Busby</dc:creator>
  <cp:lastModifiedBy>Gwynn Busby</cp:lastModifiedBy>
  <cp:revision>23</cp:revision>
  <dcterms:created xsi:type="dcterms:W3CDTF">2018-06-11T14:54:00Z</dcterms:created>
  <dcterms:modified xsi:type="dcterms:W3CDTF">2018-06-27T17:47:00Z</dcterms:modified>
</cp:coreProperties>
</file>